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w="http://schemas.openxmlformats.org/wordprocessingml/2006/main" xmlns:mc="http://schemas.openxmlformats.org/markup-compatibility/2006" xmlns:a="http://schemas.openxmlformats.org/drawingml/2006/main" xmlns:pic="http://schemas.openxmlformats.org/drawingml/2006/picture" xmlns:r="http://schemas.openxmlformats.org/officeDocument/2006/relationships" xmlns:w14="http://schemas.microsoft.com/office/word/2010/wordml" xmlns:wp="http://schemas.openxmlformats.org/drawingml/2006/wordprocessingDrawing" mc:Ignorable="w14">
  <w:body>
    <w:p w14:paraId="01000000">
      <w:pPr>
        <w:widowControl w:val="0"/>
        <w:ind w:firstLine="540" w:left="0"/>
        <w:jc w:val="center"/>
        <w:rPr>
          <w:b w:val="1"/>
          <w:sz w:val="36"/>
          <w:u w:val="single"/>
        </w:rPr>
      </w:pPr>
      <w:r>
        <w:rPr>
          <w:b w:val="1"/>
          <w:sz w:val="36"/>
          <w:u w:val="single"/>
        </w:rPr>
        <w:t xml:space="preserve">Методические рекомендации </w:t>
      </w:r>
    </w:p>
    <w:p w14:paraId="02000000">
      <w:pPr>
        <w:widowControl w:val="0"/>
        <w:ind w:firstLine="540" w:left="0"/>
        <w:jc w:val="center"/>
        <w:rPr>
          <w:b w:val="1"/>
          <w:i w:val="1"/>
          <w:u w:val="single"/>
        </w:rPr>
      </w:pPr>
      <w:r>
        <w:rPr>
          <w:b w:val="1"/>
          <w:u w:val="single"/>
        </w:rPr>
        <w:t>П</w:t>
      </w:r>
      <w:r>
        <w:rPr>
          <w:b w:val="1"/>
          <w:u w:val="single"/>
        </w:rPr>
        <w:t>амятка</w:t>
      </w:r>
      <w:r>
        <w:rPr>
          <w:b w:val="1"/>
          <w:u w:val="single"/>
        </w:rPr>
        <w:t xml:space="preserve"> </w:t>
      </w:r>
      <w:r>
        <w:rPr>
          <w:b w:val="1"/>
          <w:i w:val="1"/>
          <w:u w:val="single"/>
        </w:rPr>
        <w:t>д</w:t>
      </w:r>
      <w:r>
        <w:rPr>
          <w:b w:val="1"/>
          <w:i w:val="1"/>
          <w:u w:val="single"/>
        </w:rPr>
        <w:t xml:space="preserve">ля организаторов и инструкторов туристических походов, </w:t>
      </w:r>
    </w:p>
    <w:p w14:paraId="03000000">
      <w:pPr>
        <w:widowControl w:val="0"/>
        <w:ind w:firstLine="540" w:left="0"/>
        <w:jc w:val="center"/>
        <w:rPr>
          <w:b w:val="1"/>
          <w:i w:val="1"/>
          <w:u w:val="single"/>
        </w:rPr>
      </w:pPr>
      <w:r>
        <w:rPr>
          <w:b w:val="1"/>
          <w:i w:val="1"/>
          <w:u w:val="single"/>
        </w:rPr>
        <w:t>детских экскурсионных маршрутов</w:t>
      </w:r>
    </w:p>
    <w:p w14:paraId="04000000">
      <w:pPr>
        <w:widowControl w:val="0"/>
        <w:ind w:firstLine="540" w:left="0"/>
        <w:jc w:val="center"/>
        <w:rPr>
          <w:b w:val="1"/>
          <w:i w:val="1"/>
          <w:u w:val="single"/>
        </w:rPr>
      </w:pPr>
    </w:p>
    <w:p w14:paraId="05000000">
      <w:pPr>
        <w:pStyle w:val="Style_1"/>
        <w:spacing w:after="0" w:before="0"/>
        <w:ind/>
        <w:jc w:val="both"/>
        <w:rPr>
          <w:color w:val="000000"/>
        </w:rPr>
      </w:pPr>
      <w:r>
        <w:rPr>
          <w:b w:val="1"/>
        </w:rPr>
        <w:t>В целях обеспечения санэпидблагополучия при организации детских экскурсионных маршрутов и походов</w:t>
      </w:r>
      <w:r>
        <w:rPr>
          <w:b w:val="1"/>
        </w:rPr>
        <w:t xml:space="preserve"> организаторам и инструкторам данных мероприятий </w:t>
      </w:r>
      <w:r>
        <w:rPr>
          <w:b w:val="1"/>
        </w:rPr>
        <w:t xml:space="preserve"> </w:t>
      </w:r>
      <w:r>
        <w:rPr>
          <w:b w:val="1"/>
          <w:i w:val="1"/>
          <w:u w:val="single"/>
        </w:rPr>
        <w:t>необходимо</w:t>
      </w:r>
      <w:r>
        <w:rPr>
          <w:b w:val="1"/>
        </w:rPr>
        <w:t>:</w:t>
      </w:r>
      <w:r>
        <w:rPr>
          <w:color w:val="000000"/>
        </w:rPr>
        <w:t xml:space="preserve"> </w:t>
      </w:r>
    </w:p>
    <w:p w14:paraId="06000000">
      <w:pPr>
        <w:pStyle w:val="Style_1"/>
        <w:spacing w:after="0" w:before="0"/>
        <w:ind/>
        <w:jc w:val="both"/>
        <w:rPr>
          <w:color w:val="000000"/>
        </w:rPr>
      </w:pPr>
      <w:r>
        <w:rPr>
          <w:color w:val="000000"/>
        </w:rPr>
        <w:t>1. Решить организационные вопросы:</w:t>
      </w:r>
    </w:p>
    <w:p w14:paraId="07000000">
      <w:pPr>
        <w:pStyle w:val="Style_1"/>
        <w:numPr>
          <w:ilvl w:val="0"/>
          <w:numId w:val="1"/>
        </w:numPr>
        <w:spacing w:after="0" w:before="0"/>
        <w:ind/>
        <w:jc w:val="both"/>
        <w:rPr>
          <w:color w:val="000000"/>
        </w:rPr>
      </w:pPr>
      <w:r>
        <w:rPr>
          <w:color w:val="000000"/>
        </w:rPr>
        <w:t xml:space="preserve">Встать на учет в </w:t>
      </w:r>
      <w:r>
        <w:rPr>
          <w:color w:val="000000"/>
        </w:rPr>
        <w:t>территориальных управлениях МЧС России по субъектам РФ</w:t>
      </w:r>
      <w:r>
        <w:rPr>
          <w:b w:val="1"/>
          <w:color w:val="000000"/>
        </w:rPr>
        <w:t xml:space="preserve"> </w:t>
      </w:r>
      <w:r>
        <w:rPr>
          <w:b w:val="1"/>
          <w:color w:val="000000"/>
        </w:rPr>
        <w:t xml:space="preserve">и заявить </w:t>
      </w:r>
      <w:r>
        <w:rPr>
          <w:color w:val="000000"/>
        </w:rPr>
        <w:t>о своем маршруте.</w:t>
      </w:r>
    </w:p>
    <w:p w14:paraId="08000000">
      <w:pPr>
        <w:pStyle w:val="Style_1"/>
        <w:numPr>
          <w:ilvl w:val="0"/>
          <w:numId w:val="1"/>
        </w:numPr>
        <w:spacing w:after="0" w:before="0"/>
        <w:ind/>
        <w:jc w:val="both"/>
        <w:rPr>
          <w:color w:val="000000"/>
        </w:rPr>
      </w:pPr>
      <w:r>
        <w:t>О</w:t>
      </w:r>
      <w:r>
        <w:rPr>
          <w:color w:val="000000"/>
        </w:rPr>
        <w:t>знакомиться с необходимой и достоверной информацией о потенциальной опасности на маршруте;</w:t>
      </w:r>
    </w:p>
    <w:p w14:paraId="09000000">
      <w:pPr>
        <w:pStyle w:val="Style_1"/>
        <w:numPr>
          <w:ilvl w:val="0"/>
          <w:numId w:val="1"/>
        </w:numPr>
        <w:spacing w:after="0" w:before="0"/>
        <w:ind/>
        <w:jc w:val="both"/>
        <w:rPr>
          <w:color w:val="000000"/>
        </w:rPr>
      </w:pPr>
      <w:r>
        <w:t>О</w:t>
      </w:r>
      <w:r>
        <w:rPr>
          <w:color w:val="000000"/>
        </w:rPr>
        <w:t>знакомиться с имеющейся информацией о гидро</w:t>
      </w:r>
      <w:r>
        <w:rPr>
          <w:color w:val="000000"/>
        </w:rPr>
        <w:t>/</w:t>
      </w:r>
      <w:r>
        <w:rPr>
          <w:color w:val="000000"/>
        </w:rPr>
        <w:t>метеоусловиях, сложившихся в районе предполагаемого маршрута;</w:t>
      </w:r>
    </w:p>
    <w:p w14:paraId="0A000000">
      <w:pPr>
        <w:widowControl w:val="0"/>
        <w:numPr>
          <w:ilvl w:val="0"/>
          <w:numId w:val="1"/>
        </w:numPr>
        <w:ind/>
        <w:jc w:val="both"/>
      </w:pPr>
      <w:r>
        <w:t>В</w:t>
      </w:r>
      <w:r>
        <w:rPr>
          <w:color w:val="000000"/>
        </w:rPr>
        <w:t xml:space="preserve"> соответствии с гидро</w:t>
      </w:r>
      <w:r>
        <w:rPr>
          <w:color w:val="000000"/>
        </w:rPr>
        <w:t>/</w:t>
      </w:r>
      <w:r>
        <w:rPr>
          <w:color w:val="000000"/>
        </w:rPr>
        <w:t>метеоусловиями</w:t>
      </w:r>
      <w:r>
        <w:rPr>
          <w:color w:val="000000"/>
        </w:rPr>
        <w:t>, сложившимися в районе предполагаемого маршрута, потенциальными опасностями на маршруте, проконсультироваться о безопасном прохождении маршрута, соблюсти правила личной и групповой безопасности, получить памятки по соблюдению безопасности на маршруте;</w:t>
      </w:r>
      <w:r>
        <w:rPr>
          <w:color w:val="000000"/>
        </w:rPr>
        <w:t xml:space="preserve"> </w:t>
      </w:r>
      <w:r>
        <w:rPr>
          <w:color w:val="000000"/>
        </w:rPr>
        <w:t>проверить самостоятельно и предоставить для проверки групповое и личное снаряжение, касающееся безопасного прохождения маршрута, имеющиеся средства связи, средства сигнализации, маршрутные документы, наличие продуктов питания, медикаментов</w:t>
      </w:r>
      <w:r>
        <w:rPr>
          <w:color w:val="000000"/>
        </w:rPr>
        <w:t>.</w:t>
      </w:r>
    </w:p>
    <w:p w14:paraId="0B000000">
      <w:pPr>
        <w:widowControl w:val="0"/>
        <w:numPr>
          <w:ilvl w:val="0"/>
          <w:numId w:val="1"/>
        </w:numPr>
        <w:ind/>
        <w:jc w:val="both"/>
        <w:rPr>
          <w:b w:val="1"/>
        </w:rPr>
      </w:pPr>
      <w:r>
        <w:rPr>
          <w:color w:val="000000"/>
        </w:rPr>
        <w:t>П</w:t>
      </w:r>
      <w:r>
        <w:rPr>
          <w:color w:val="000000"/>
        </w:rPr>
        <w:t>редоставить номера телефонов, адреса членов группы; </w:t>
      </w:r>
    </w:p>
    <w:p w14:paraId="0C000000">
      <w:pPr>
        <w:widowControl w:val="0"/>
        <w:numPr>
          <w:ilvl w:val="0"/>
          <w:numId w:val="1"/>
        </w:numPr>
        <w:ind/>
        <w:jc w:val="both"/>
        <w:rPr>
          <w:b w:val="1"/>
        </w:rPr>
      </w:pPr>
      <w:r>
        <w:rPr>
          <w:color w:val="000000"/>
        </w:rPr>
        <w:t>О</w:t>
      </w:r>
      <w:r>
        <w:rPr>
          <w:color w:val="000000"/>
        </w:rPr>
        <w:t>знакомиться с ближайшими точками возможной экстренной связи на протяжении маршрута;</w:t>
      </w:r>
    </w:p>
    <w:p w14:paraId="0D000000">
      <w:pPr>
        <w:pStyle w:val="Style_2"/>
        <w:spacing w:after="0" w:before="0"/>
        <w:ind/>
        <w:jc w:val="both"/>
        <w:rPr>
          <w:b w:val="0"/>
          <w:color w:val="000000"/>
        </w:rPr>
      </w:pPr>
      <w:r>
        <w:rPr>
          <w:b w:val="0"/>
        </w:rPr>
        <w:t>2.</w:t>
      </w:r>
      <w:r>
        <w:rPr>
          <w:b w:val="0"/>
        </w:rPr>
        <w:t xml:space="preserve"> Т</w:t>
      </w:r>
      <w:r>
        <w:rPr>
          <w:b w:val="0"/>
        </w:rPr>
        <w:t>ребования</w:t>
      </w:r>
      <w:r>
        <w:rPr>
          <w:b w:val="0"/>
        </w:rPr>
        <w:t xml:space="preserve"> п. 1.5 Санитарных правил и норм </w:t>
      </w:r>
      <w:r>
        <w:rPr>
          <w:b w:val="0"/>
        </w:rPr>
        <w:t xml:space="preserve"> СанПиН </w:t>
      </w:r>
      <w:r>
        <w:rPr>
          <w:b w:val="0"/>
          <w:color w:val="000000"/>
        </w:rPr>
        <w:t>2.4.4.3048-13 «</w:t>
      </w:r>
      <w:r>
        <w:rPr>
          <w:b w:val="0"/>
          <w:color w:val="000000"/>
        </w:rPr>
        <w:t>Санитарно-эпидемиологические требования к устройству и организации работы детских лагерей палаточного типа»</w:t>
      </w:r>
      <w:r>
        <w:rPr>
          <w:b w:val="0"/>
          <w:color w:val="000000"/>
        </w:rPr>
        <w:t xml:space="preserve"> не распростран</w:t>
      </w:r>
      <w:r>
        <w:rPr>
          <w:b w:val="0"/>
          <w:color w:val="000000"/>
        </w:rPr>
        <w:t>яются на проходящие в условиях природной среды слеты, спортивные соревнования и учебно-тренировочные сборы продолжительностью менее 7 дней, в также на туристские походы любой продолжительности (не связанные в палаточным лагерем), походные бивуаки (места ночлегов туристов в походе).</w:t>
      </w:r>
      <w:r>
        <w:rPr>
          <w:b w:val="0"/>
          <w:color w:val="000000"/>
        </w:rPr>
        <w:t xml:space="preserve">, тем не менее часть </w:t>
      </w:r>
      <w:r>
        <w:rPr>
          <w:b w:val="0"/>
          <w:color w:val="000000"/>
        </w:rPr>
        <w:t>требований</w:t>
      </w:r>
      <w:r>
        <w:rPr>
          <w:b w:val="0"/>
          <w:color w:val="000000"/>
        </w:rPr>
        <w:t xml:space="preserve"> вышеуказанного СанПиН могут быть рекомендованы для исполнения, а именно:</w:t>
      </w:r>
    </w:p>
    <w:p w14:paraId="0E000000">
      <w:pPr>
        <w:pStyle w:val="Style_1"/>
        <w:spacing w:after="0" w:before="0"/>
        <w:ind/>
        <w:jc w:val="both"/>
        <w:rPr>
          <w:b w:val="1"/>
          <w:i w:val="1"/>
          <w:color w:val="000000"/>
          <w:u w:val="single"/>
        </w:rPr>
      </w:pPr>
      <w:r>
        <w:rPr>
          <w:b w:val="1"/>
          <w:i w:val="1"/>
          <w:color w:val="000000"/>
          <w:u w:val="single"/>
        </w:rPr>
        <w:t>2.1</w:t>
      </w:r>
      <w:r>
        <w:rPr>
          <w:b w:val="1"/>
          <w:i w:val="1"/>
          <w:color w:val="000000"/>
          <w:u w:val="single"/>
        </w:rPr>
        <w:t>. К водоснабжению:</w:t>
      </w:r>
    </w:p>
    <w:p w14:paraId="0F000000">
      <w:pPr>
        <w:widowControl w:val="0"/>
        <w:ind w:firstLine="540" w:left="0"/>
        <w:jc w:val="both"/>
      </w:pPr>
      <w:r>
        <w:t xml:space="preserve">В качестве источников питьевой воды могут быть использованы источники централизованного водоснабжения населенных мест </w:t>
      </w:r>
      <w:r>
        <w:t xml:space="preserve">и </w:t>
      </w:r>
      <w:r>
        <w:t xml:space="preserve">нецентрализованного водоснабжения  (артезианские скважины, каптажи, колодцы, родники и др.), вода, доставляемая спец.транспортом, питьевая промышленного производства, расфасованная в емкости (бутилированная), </w:t>
      </w:r>
      <w:r>
        <w:t>кипяченая вода (кипячение в течение не менее 5 минут от момента закипания)</w:t>
      </w:r>
      <w:r>
        <w:t>, качество которой должно отвечать гигиеническим требованиям на питьевую воду</w:t>
      </w:r>
      <w:r>
        <w:t>.</w:t>
      </w:r>
    </w:p>
    <w:p w14:paraId="10000000">
      <w:pPr>
        <w:pStyle w:val="Style_1"/>
        <w:spacing w:after="0" w:before="0"/>
        <w:ind/>
        <w:jc w:val="both"/>
        <w:rPr>
          <w:b w:val="1"/>
          <w:i w:val="1"/>
          <w:u w:val="single"/>
        </w:rPr>
      </w:pPr>
      <w:r>
        <w:rPr>
          <w:b w:val="1"/>
          <w:i w:val="1"/>
          <w:u w:val="single"/>
        </w:rPr>
        <w:t>2.2</w:t>
      </w:r>
      <w:r>
        <w:rPr>
          <w:b w:val="1"/>
          <w:i w:val="1"/>
          <w:u w:val="single"/>
        </w:rPr>
        <w:t>.</w:t>
      </w:r>
      <w:r>
        <w:rPr>
          <w:b w:val="1"/>
          <w:i w:val="1"/>
          <w:u w:val="single"/>
        </w:rPr>
        <w:t xml:space="preserve"> </w:t>
      </w:r>
      <w:r>
        <w:rPr>
          <w:b w:val="1"/>
          <w:i w:val="1"/>
          <w:color w:val="000000"/>
          <w:u w:val="single"/>
        </w:rPr>
        <w:t>К территории:</w:t>
      </w:r>
    </w:p>
    <w:p w14:paraId="11000000">
      <w:pPr>
        <w:pStyle w:val="Style_1"/>
        <w:spacing w:after="0" w:before="0"/>
        <w:ind/>
        <w:contextualSpacing w:val="1"/>
        <w:jc w:val="both"/>
        <w:rPr>
          <w:color w:val="000000"/>
        </w:rPr>
      </w:pPr>
      <w:r>
        <w:rPr>
          <w:color w:val="000000"/>
        </w:rPr>
        <w:t xml:space="preserve">       </w:t>
      </w:r>
      <w:r>
        <w:rPr>
          <w:color w:val="000000"/>
        </w:rPr>
        <w:t>П</w:t>
      </w:r>
      <w:r>
        <w:rPr>
          <w:color w:val="000000"/>
        </w:rPr>
        <w:t>алат</w:t>
      </w:r>
      <w:r>
        <w:rPr>
          <w:color w:val="000000"/>
        </w:rPr>
        <w:t xml:space="preserve">ки </w:t>
      </w:r>
      <w:r>
        <w:rPr>
          <w:color w:val="000000"/>
        </w:rPr>
        <w:t>ра</w:t>
      </w:r>
      <w:r>
        <w:rPr>
          <w:color w:val="000000"/>
        </w:rPr>
        <w:t>змещаются</w:t>
      </w:r>
      <w:r>
        <w:rPr>
          <w:color w:val="000000"/>
        </w:rPr>
        <w:t xml:space="preserve"> на сухой, не заболоченной, незатопляемой талыми, дождевыми и паводковыми водами территории, с ровным рельефом и одним склоном для стока ливневых вод</w:t>
      </w:r>
      <w:r>
        <w:rPr>
          <w:color w:val="000000"/>
        </w:rPr>
        <w:t xml:space="preserve">, </w:t>
      </w:r>
      <w:r>
        <w:rPr>
          <w:color w:val="000000"/>
        </w:rPr>
        <w:t>на расстоянии не ближе 100 метров от линий высоковольтных электропередач, автомагистралей, железнодорожных путей.</w:t>
      </w:r>
      <w:r>
        <w:rPr>
          <w:color w:val="000000"/>
        </w:rPr>
        <w:t xml:space="preserve"> Территория должна быть свободна от </w:t>
      </w:r>
      <w:r>
        <w:rPr>
          <w:color w:val="000000"/>
        </w:rPr>
        <w:t>мусора, сухостоя и валежника, колючих кустарников и растительности с ядовитыми плодами</w:t>
      </w:r>
      <w:r>
        <w:rPr>
          <w:color w:val="000000"/>
        </w:rPr>
        <w:t>.</w:t>
      </w:r>
      <w:r>
        <w:rPr>
          <w:color w:val="000000"/>
        </w:rPr>
        <w:t xml:space="preserve"> </w:t>
      </w:r>
      <w:r>
        <w:rPr>
          <w:color w:val="000000"/>
        </w:rPr>
        <w:t>Н</w:t>
      </w:r>
      <w:r>
        <w:rPr>
          <w:color w:val="000000"/>
        </w:rPr>
        <w:t>а сухом</w:t>
      </w:r>
      <w:r>
        <w:rPr>
          <w:color w:val="000000"/>
        </w:rPr>
        <w:t xml:space="preserve"> месте размещаются </w:t>
      </w:r>
      <w:r>
        <w:rPr>
          <w:color w:val="000000"/>
        </w:rPr>
        <w:t>прочны</w:t>
      </w:r>
      <w:r>
        <w:rPr>
          <w:color w:val="000000"/>
        </w:rPr>
        <w:t>е</w:t>
      </w:r>
      <w:r>
        <w:rPr>
          <w:color w:val="000000"/>
        </w:rPr>
        <w:t>, непромокаемы</w:t>
      </w:r>
      <w:r>
        <w:rPr>
          <w:color w:val="000000"/>
        </w:rPr>
        <w:t>е (или под тентом)</w:t>
      </w:r>
      <w:r>
        <w:rPr>
          <w:color w:val="000000"/>
        </w:rPr>
        <w:t>, ветроустойчивы</w:t>
      </w:r>
      <w:r>
        <w:rPr>
          <w:color w:val="000000"/>
        </w:rPr>
        <w:t xml:space="preserve">е </w:t>
      </w:r>
      <w:r>
        <w:rPr>
          <w:color w:val="000000"/>
        </w:rPr>
        <w:t>палатки.</w:t>
      </w:r>
    </w:p>
    <w:p w14:paraId="12000000">
      <w:pPr>
        <w:pStyle w:val="Style_1"/>
        <w:spacing w:after="0" w:before="0"/>
        <w:ind/>
        <w:jc w:val="both"/>
        <w:rPr>
          <w:color w:val="000000"/>
        </w:rPr>
      </w:pPr>
      <w:r>
        <w:rPr>
          <w:color w:val="000000"/>
        </w:rPr>
        <w:t xml:space="preserve">        </w:t>
      </w:r>
      <w:r>
        <w:rPr>
          <w:color w:val="000000"/>
        </w:rPr>
        <w:t xml:space="preserve">Территория палаточного лагеря должна содержаться в чистоте. </w:t>
      </w:r>
    </w:p>
    <w:p w14:paraId="13000000">
      <w:pPr>
        <w:pStyle w:val="Style_1"/>
        <w:spacing w:after="0" w:before="0"/>
        <w:ind/>
        <w:jc w:val="both"/>
        <w:rPr>
          <w:color w:val="000000"/>
        </w:rPr>
      </w:pPr>
      <w:r>
        <w:rPr>
          <w:color w:val="000000"/>
        </w:rPr>
        <w:t xml:space="preserve">        </w:t>
      </w:r>
      <w:r>
        <w:rPr>
          <w:color w:val="000000"/>
        </w:rPr>
        <w:t>Текущая уборка территории проводится ежедневно по мере загрязнения. Сжигание мусора на территории не допускается.</w:t>
      </w:r>
    </w:p>
    <w:p w14:paraId="14000000">
      <w:pPr>
        <w:pStyle w:val="Style_1"/>
        <w:spacing w:after="0" w:before="0"/>
        <w:ind/>
        <w:jc w:val="both"/>
        <w:rPr>
          <w:color w:val="000000"/>
        </w:rPr>
      </w:pPr>
      <w:r>
        <w:rPr>
          <w:color w:val="000000"/>
        </w:rPr>
        <w:t xml:space="preserve">        Мусор и </w:t>
      </w:r>
      <w:r>
        <w:rPr>
          <w:color w:val="000000"/>
        </w:rPr>
        <w:t>пищевые отходы закапываются в отведенном для них месте.</w:t>
      </w:r>
    </w:p>
    <w:p w14:paraId="15000000">
      <w:pPr>
        <w:pStyle w:val="Style_1"/>
        <w:spacing w:after="0" w:before="0"/>
        <w:ind/>
        <w:jc w:val="both"/>
      </w:pPr>
      <w:r>
        <w:t xml:space="preserve">        </w:t>
      </w:r>
      <w:r>
        <w:t>Ежедневно провод</w:t>
      </w:r>
      <w:r>
        <w:t>ятся</w:t>
      </w:r>
      <w:r>
        <w:t xml:space="preserve"> мероприятия по защите от укусов клещей:</w:t>
      </w:r>
    </w:p>
    <w:p w14:paraId="16000000">
      <w:pPr>
        <w:pStyle w:val="Style_1"/>
        <w:numPr>
          <w:ilvl w:val="0"/>
          <w:numId w:val="2"/>
        </w:numPr>
        <w:spacing w:after="0" w:before="0"/>
        <w:ind/>
        <w:jc w:val="both"/>
      </w:pPr>
      <w:r>
        <w:t>Каждые 10-15 мин. проводить</w:t>
      </w:r>
      <w:r>
        <w:t xml:space="preserve"> осмотр своей одежды, а на привалах по возможности дела</w:t>
      </w:r>
      <w:r>
        <w:t>ть</w:t>
      </w:r>
      <w:r>
        <w:t xml:space="preserve"> более тщательную проверку, осматривая голову и тело, в особенности выше пояса</w:t>
      </w:r>
      <w:r>
        <w:t>.</w:t>
      </w:r>
    </w:p>
    <w:p w14:paraId="17000000">
      <w:pPr>
        <w:pStyle w:val="Style_1"/>
        <w:numPr>
          <w:ilvl w:val="0"/>
          <w:numId w:val="2"/>
        </w:numPr>
        <w:spacing w:after="0" w:before="0"/>
        <w:ind/>
        <w:jc w:val="both"/>
      </w:pPr>
      <w:r>
        <w:t>Находясь в местах обитания клещей, избега</w:t>
      </w:r>
      <w:r>
        <w:t>ть</w:t>
      </w:r>
      <w:r>
        <w:t xml:space="preserve"> темных тонов в одежде, так как клещей тр</w:t>
      </w:r>
      <w:r>
        <w:t xml:space="preserve">уднее заметить на темном фоне. </w:t>
      </w:r>
    </w:p>
    <w:p w14:paraId="18000000">
      <w:pPr>
        <w:pStyle w:val="Style_1"/>
        <w:numPr>
          <w:ilvl w:val="0"/>
          <w:numId w:val="2"/>
        </w:numPr>
        <w:spacing w:after="0" w:before="0"/>
        <w:ind/>
        <w:jc w:val="both"/>
      </w:pPr>
      <w:r>
        <w:t>Заправля</w:t>
      </w:r>
      <w:r>
        <w:t>ть</w:t>
      </w:r>
      <w:r>
        <w:t xml:space="preserve"> верхнюю одежду в штаны, а штаны – в носки. Если нет капюшона - наде</w:t>
      </w:r>
      <w:r>
        <w:t>ть</w:t>
      </w:r>
      <w:r>
        <w:t xml:space="preserve"> головной убор. </w:t>
      </w:r>
    </w:p>
    <w:p w14:paraId="19000000">
      <w:pPr>
        <w:pStyle w:val="Style_1"/>
        <w:numPr>
          <w:ilvl w:val="0"/>
          <w:numId w:val="3"/>
        </w:numPr>
        <w:spacing w:after="0" w:before="0"/>
        <w:ind/>
        <w:jc w:val="both"/>
        <w:rPr>
          <w:rFonts w:ascii="Verdana" w:hAnsi="Verdana"/>
          <w:color w:val="3F3F3F"/>
        </w:rPr>
      </w:pPr>
      <w:r>
        <w:t>Необходимо п</w:t>
      </w:r>
      <w:r>
        <w:t>ользоваться средствами химической защиты (</w:t>
      </w:r>
      <w:r>
        <w:t>о</w:t>
      </w:r>
      <w:r>
        <w:t>бработа</w:t>
      </w:r>
      <w:r>
        <w:t>ть</w:t>
      </w:r>
      <w:r>
        <w:t xml:space="preserve"> одежду, спальник, палатку и другие предметы акарицидно-репеллентным (например, "</w:t>
      </w:r>
      <w:r>
        <w:rPr>
          <w:u w:val="single"/>
        </w:rPr>
        <w:fldChar w:fldCharType="begin"/>
      </w:r>
      <w:r>
        <w:rPr>
          <w:u w:val="single"/>
        </w:rPr>
        <w:instrText>HYPERLINK "http://encephalitis.ru/index.php?newsid=2179"</w:instrText>
      </w:r>
      <w:r>
        <w:rPr>
          <w:u w:val="single"/>
        </w:rPr>
        <w:fldChar w:fldCharType="separate"/>
      </w:r>
      <w:r>
        <w:rPr>
          <w:u w:val="single"/>
        </w:rPr>
        <w:t>Медилис-комфорт</w:t>
      </w:r>
      <w:r>
        <w:rPr>
          <w:u w:val="single"/>
        </w:rPr>
        <w:fldChar w:fldCharType="end"/>
      </w:r>
      <w:r>
        <w:t xml:space="preserve">") или </w:t>
      </w:r>
      <w:r>
        <w:t>а</w:t>
      </w:r>
      <w:r>
        <w:t>карицидным</w:t>
      </w:r>
      <w:r>
        <w:t xml:space="preserve"> </w:t>
      </w:r>
      <w:r>
        <w:t>средством</w:t>
      </w:r>
      <w:r>
        <w:t>)</w:t>
      </w:r>
      <w:r>
        <w:t xml:space="preserve">. </w:t>
      </w:r>
      <w:r>
        <w:t>На</w:t>
      </w:r>
      <w:r>
        <w:t xml:space="preserve"> оголенные участки тела можно нанести защитный репеллент (например, </w:t>
      </w:r>
      <w:r>
        <w:rPr>
          <w:u w:val="single"/>
        </w:rPr>
        <w:t>Ultrathon™</w:t>
      </w:r>
      <w:r>
        <w:t xml:space="preserve">), который кроме укусов клещей защитит обработанные места и от укусов кровососущих насекомых. </w:t>
      </w:r>
    </w:p>
    <w:p w14:paraId="1A000000">
      <w:pPr>
        <w:pStyle w:val="Style_1"/>
        <w:numPr>
          <w:ilvl w:val="0"/>
          <w:numId w:val="3"/>
        </w:numPr>
        <w:spacing w:after="0" w:before="0"/>
        <w:ind/>
        <w:jc w:val="both"/>
        <w:rPr>
          <w:rFonts w:ascii="Verdana" w:hAnsi="Verdana"/>
          <w:color w:val="3F3F3F"/>
        </w:rPr>
      </w:pPr>
      <w:r>
        <w:t>Выбирать место для отдыха и ночлега</w:t>
      </w:r>
      <w:r>
        <w:t xml:space="preserve"> нужно</w:t>
      </w:r>
      <w:r>
        <w:t>, с  учетом особенностей местности (к</w:t>
      </w:r>
      <w:r>
        <w:t>лещей всегда больше на тропах, так им проще найти жертву</w:t>
      </w:r>
      <w:r>
        <w:t>, п</w:t>
      </w:r>
      <w:r>
        <w:t>оэтому не стоит отдыхать, "заваливаясь" на траву в метре от тропы. На солнечных, сухих полянах клещей меньше, чем в тени (клещи плохо</w:t>
      </w:r>
      <w:r>
        <w:t xml:space="preserve"> переносят отсутствие влаги). </w:t>
      </w:r>
    </w:p>
    <w:p w14:paraId="1B000000">
      <w:pPr>
        <w:pStyle w:val="Style_1"/>
        <w:numPr>
          <w:ilvl w:val="0"/>
          <w:numId w:val="3"/>
        </w:numPr>
        <w:spacing w:after="0" w:before="0"/>
        <w:ind/>
        <w:jc w:val="both"/>
      </w:pPr>
      <w:r>
        <w:t xml:space="preserve">После </w:t>
      </w:r>
      <w:r>
        <w:t>завершения похода</w:t>
      </w:r>
      <w:r>
        <w:t>, дом</w:t>
      </w:r>
      <w:r>
        <w:t>а, необходимо</w:t>
      </w:r>
      <w:r>
        <w:t xml:space="preserve"> сн</w:t>
      </w:r>
      <w:r>
        <w:t>ять</w:t>
      </w:r>
      <w:r>
        <w:t xml:space="preserve"> одежду вне жилого помещения и тщательно ее осмотр</w:t>
      </w:r>
      <w:r>
        <w:t>еть</w:t>
      </w:r>
      <w:r>
        <w:t xml:space="preserve">, обратив особое внимания на складки, швы, карманы. </w:t>
      </w:r>
    </w:p>
    <w:p w14:paraId="1C000000">
      <w:pPr>
        <w:pStyle w:val="Style_1"/>
        <w:spacing w:after="400" w:before="0" w:line="384" w:lineRule="atLeast"/>
        <w:ind w:firstLine="0" w:left="720"/>
        <w:rPr>
          <w:rFonts w:ascii="Arial" w:hAnsi="Arial"/>
          <w:color w:val="000000"/>
          <w:sz w:val="32"/>
        </w:rPr>
      </w:pPr>
      <w:r>
        <w:rPr>
          <w:rFonts w:ascii="Verdana" w:hAnsi="Verdana"/>
          <w:color w:val="3F3F3F"/>
        </w:rPr>
        <w:drawing>
          <wp:inline>
            <wp:extent cx="4334891" cy="4334891"/>
            <wp:docPr id="1" name="Picture"/>
            <a:graphic>
              <a:graphicData uri="http://schemas.openxmlformats.org/drawingml/2006/picture">
                <pic:pic>
                  <pic:nvPicPr>
                    <pic:cNvPr id="0" name="picture"/>
                    <pic:cNvPicPr preferRelativeResize="true"/>
                  </pic:nvPicPr>
                  <pic:blipFill>
                    <a:blip r:embed="rId1" r:link=""/>
                    <a:stretch/>
                  </pic:blipFill>
                  <pic:spPr>
                    <a:xfrm rot="0">
                      <a:off x="0" y="0"/>
                      <a:ext cx="4334891" cy="4334891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1D000000">
      <w:pPr>
        <w:pStyle w:val="Style_1"/>
        <w:spacing w:after="0" w:before="0"/>
        <w:ind/>
        <w:jc w:val="both"/>
        <w:rPr>
          <w:b w:val="1"/>
          <w:i w:val="1"/>
          <w:color w:val="000000"/>
          <w:u w:val="single"/>
        </w:rPr>
      </w:pPr>
      <w:r>
        <w:rPr>
          <w:b w:val="1"/>
          <w:i w:val="1"/>
          <w:color w:val="000000"/>
          <w:u w:val="single"/>
        </w:rPr>
        <w:t xml:space="preserve">2.2 </w:t>
      </w:r>
      <w:r>
        <w:rPr>
          <w:b w:val="1"/>
          <w:i w:val="1"/>
          <w:color w:val="000000"/>
          <w:u w:val="single"/>
        </w:rPr>
        <w:t xml:space="preserve"> К</w:t>
      </w:r>
      <w:r>
        <w:rPr>
          <w:b w:val="1"/>
          <w:i w:val="1"/>
          <w:color w:val="000000"/>
          <w:u w:val="single"/>
        </w:rPr>
        <w:t xml:space="preserve"> </w:t>
      </w:r>
      <w:r>
        <w:rPr>
          <w:b w:val="1"/>
          <w:i w:val="1"/>
          <w:color w:val="000000"/>
          <w:u w:val="single"/>
        </w:rPr>
        <w:t>использованию поверхностных водных объектов</w:t>
      </w:r>
    </w:p>
    <w:p w14:paraId="1E000000">
      <w:pPr>
        <w:widowControl w:val="0"/>
        <w:ind w:firstLine="540" w:left="0"/>
        <w:jc w:val="both"/>
        <w:rPr>
          <w:b w:val="1"/>
        </w:rPr>
      </w:pPr>
      <w:r>
        <w:rPr>
          <w:b w:val="1"/>
        </w:rPr>
        <w:t>И</w:t>
      </w:r>
      <w:r>
        <w:rPr>
          <w:b w:val="1"/>
        </w:rPr>
        <w:t xml:space="preserve">спользование поверхностных водных объектов для купания детей допускается только при наличии </w:t>
      </w:r>
      <w:r>
        <w:rPr>
          <w:b w:val="1"/>
        </w:rPr>
        <w:t xml:space="preserve">санитарно-эпидемиологического заключения, подтверждающего </w:t>
      </w:r>
      <w:r>
        <w:rPr>
          <w:b w:val="1"/>
        </w:rPr>
        <w:t>его соответствие санитарным правилам</w:t>
      </w:r>
      <w:r>
        <w:t>, предъявляющим гигиенические требования к охране поверхностных вод и</w:t>
      </w:r>
      <w:r>
        <w:t xml:space="preserve"> (или)</w:t>
      </w:r>
      <w:r>
        <w:t xml:space="preserve"> предъявляющим санитарно-эпидемиологические требования к охране прибрежных вод морей от загрязнения в местах водопользования населения, выданного Роспотребнадзором.</w:t>
      </w:r>
      <w:r>
        <w:rPr>
          <w:b w:val="1"/>
        </w:rPr>
        <w:t xml:space="preserve"> </w:t>
      </w:r>
    </w:p>
    <w:p w14:paraId="1F000000">
      <w:pPr>
        <w:widowControl w:val="0"/>
        <w:ind w:firstLine="540" w:left="0"/>
        <w:jc w:val="both"/>
      </w:pPr>
      <w:r>
        <w:rPr>
          <w:b w:val="1"/>
        </w:rPr>
        <w:t>Купание детей в открытых водоемах рекомендуется проводить в солнечные и безветренные дни, при температуре воздуха не ниже +</w:t>
      </w:r>
      <w:r>
        <w:rPr>
          <w:b w:val="1"/>
        </w:rPr>
        <w:t>23°C</w:t>
      </w:r>
      <w:r>
        <w:rPr>
          <w:b w:val="1"/>
        </w:rPr>
        <w:t xml:space="preserve"> и температуре воды не ниже +</w:t>
      </w:r>
      <w:r>
        <w:rPr>
          <w:b w:val="1"/>
        </w:rPr>
        <w:t>20°C</w:t>
      </w:r>
      <w:r>
        <w:rPr>
          <w:b w:val="1"/>
        </w:rPr>
        <w:t>.</w:t>
      </w:r>
      <w:r>
        <w:t xml:space="preserve"> Рекомендуемая продолжительность непрерывного пребывания в воде в первые дни 2 - 5 минут с постепенным увеличением до 10 - 15 минут. Купание сразу после приема пищи (менее 30 минут) не рекомендуется. </w:t>
      </w:r>
    </w:p>
    <w:p w14:paraId="20000000">
      <w:pPr>
        <w:pStyle w:val="Style_1"/>
        <w:spacing w:after="0" w:before="0"/>
        <w:ind/>
        <w:jc w:val="both"/>
        <w:rPr>
          <w:b w:val="1"/>
          <w:i w:val="1"/>
          <w:color w:val="000000"/>
          <w:u w:val="single"/>
        </w:rPr>
      </w:pPr>
      <w:r>
        <w:rPr>
          <w:b w:val="1"/>
          <w:i w:val="1"/>
          <w:color w:val="000000"/>
          <w:u w:val="single"/>
        </w:rPr>
        <w:t>2.3</w:t>
      </w:r>
      <w:r>
        <w:rPr>
          <w:b w:val="1"/>
          <w:i w:val="1"/>
          <w:color w:val="000000"/>
          <w:u w:val="single"/>
        </w:rPr>
        <w:t>. К</w:t>
      </w:r>
      <w:r>
        <w:rPr>
          <w:b w:val="1"/>
          <w:i w:val="1"/>
          <w:color w:val="000000"/>
          <w:u w:val="single"/>
        </w:rPr>
        <w:t xml:space="preserve"> организации</w:t>
      </w:r>
      <w:r>
        <w:rPr>
          <w:b w:val="1"/>
          <w:i w:val="1"/>
          <w:color w:val="000000"/>
          <w:u w:val="single"/>
        </w:rPr>
        <w:t xml:space="preserve"> </w:t>
      </w:r>
      <w:r>
        <w:rPr>
          <w:b w:val="1"/>
          <w:i w:val="1"/>
          <w:color w:val="000000"/>
          <w:u w:val="single"/>
        </w:rPr>
        <w:t>режима дня детей</w:t>
      </w:r>
      <w:r>
        <w:rPr>
          <w:b w:val="1"/>
          <w:i w:val="1"/>
          <w:color w:val="000000"/>
          <w:u w:val="single"/>
        </w:rPr>
        <w:t>:</w:t>
      </w:r>
    </w:p>
    <w:p w14:paraId="21000000">
      <w:pPr>
        <w:widowControl w:val="0"/>
        <w:ind/>
        <w:jc w:val="both"/>
      </w:pPr>
      <w:r>
        <w:rPr>
          <w:color w:val="000000"/>
        </w:rPr>
        <w:t xml:space="preserve">         </w:t>
      </w:r>
      <w:r>
        <w:rPr>
          <w:color w:val="000000"/>
        </w:rPr>
        <w:t>Распорядок дня предусматрива</w:t>
      </w:r>
      <w:r>
        <w:rPr>
          <w:color w:val="000000"/>
        </w:rPr>
        <w:t>е</w:t>
      </w:r>
      <w:r>
        <w:rPr>
          <w:color w:val="000000"/>
        </w:rPr>
        <w:t>т продолжительность сна не менее 8 часов, питание детей не менее 3 раз</w:t>
      </w:r>
      <w:r>
        <w:rPr>
          <w:color w:val="000000"/>
        </w:rPr>
        <w:t xml:space="preserve">. </w:t>
      </w:r>
      <w:r>
        <w:t>Все участники похода должны пройти медицинский осмотр</w:t>
      </w:r>
      <w:r>
        <w:t xml:space="preserve"> педиатром, </w:t>
      </w:r>
      <w:r>
        <w:t>получить</w:t>
      </w:r>
      <w:r>
        <w:t xml:space="preserve"> справку по месту жительства об эпид.ситуации </w:t>
      </w:r>
      <w:r>
        <w:t xml:space="preserve"> </w:t>
      </w:r>
      <w:r>
        <w:t xml:space="preserve"> и </w:t>
      </w:r>
      <w:r>
        <w:t>разрешение врача.</w:t>
      </w:r>
    </w:p>
    <w:p w14:paraId="22000000">
      <w:pPr>
        <w:pStyle w:val="Style_1"/>
        <w:spacing w:after="0" w:before="0"/>
        <w:ind/>
        <w:jc w:val="both"/>
        <w:rPr>
          <w:b w:val="1"/>
          <w:i w:val="1"/>
          <w:color w:val="000000"/>
          <w:u w:val="single"/>
        </w:rPr>
      </w:pPr>
      <w:r>
        <w:rPr>
          <w:b w:val="1"/>
          <w:i w:val="1"/>
          <w:color w:val="000000"/>
          <w:u w:val="single"/>
        </w:rPr>
        <w:t>2.4</w:t>
      </w:r>
      <w:r>
        <w:rPr>
          <w:b w:val="1"/>
          <w:i w:val="1"/>
          <w:color w:val="000000"/>
          <w:u w:val="single"/>
        </w:rPr>
        <w:t>. К</w:t>
      </w:r>
      <w:r>
        <w:rPr>
          <w:b w:val="1"/>
          <w:i w:val="1"/>
          <w:color w:val="000000"/>
          <w:u w:val="single"/>
        </w:rPr>
        <w:t xml:space="preserve"> организации питания</w:t>
      </w:r>
      <w:r>
        <w:rPr>
          <w:b w:val="1"/>
          <w:i w:val="1"/>
          <w:color w:val="000000"/>
          <w:u w:val="single"/>
        </w:rPr>
        <w:t>:</w:t>
      </w:r>
    </w:p>
    <w:p w14:paraId="23000000">
      <w:pPr>
        <w:pStyle w:val="Style_1"/>
        <w:spacing w:after="0" w:before="0"/>
        <w:ind/>
        <w:jc w:val="both"/>
        <w:rPr>
          <w:color w:val="000000"/>
        </w:rPr>
      </w:pPr>
      <w:r>
        <w:rPr>
          <w:color w:val="000000"/>
        </w:rPr>
        <w:t xml:space="preserve">         </w:t>
      </w:r>
      <w:r>
        <w:rPr>
          <w:color w:val="000000"/>
        </w:rPr>
        <w:t>П</w:t>
      </w:r>
      <w:r>
        <w:rPr>
          <w:color w:val="000000"/>
        </w:rPr>
        <w:t xml:space="preserve">риготовление пищи </w:t>
      </w:r>
      <w:r>
        <w:rPr>
          <w:color w:val="000000"/>
        </w:rPr>
        <w:t xml:space="preserve">осуществляется </w:t>
      </w:r>
      <w:r>
        <w:rPr>
          <w:color w:val="000000"/>
        </w:rPr>
        <w:t>на костре.</w:t>
      </w:r>
    </w:p>
    <w:p w14:paraId="24000000">
      <w:pPr>
        <w:pStyle w:val="Style_1"/>
        <w:spacing w:after="0" w:before="0"/>
        <w:ind/>
        <w:jc w:val="both"/>
        <w:rPr>
          <w:color w:val="000000"/>
        </w:rPr>
      </w:pPr>
      <w:r>
        <w:rPr>
          <w:color w:val="000000"/>
        </w:rPr>
        <w:t xml:space="preserve">         </w:t>
      </w:r>
      <w:r>
        <w:rPr>
          <w:color w:val="000000"/>
        </w:rPr>
        <w:t xml:space="preserve">Для приема пищи используется металлическая, эмалированная, фаянсовая </w:t>
      </w:r>
      <w:r>
        <w:rPr>
          <w:color w:val="000000"/>
        </w:rPr>
        <w:t xml:space="preserve"> или одноразовая </w:t>
      </w:r>
      <w:r>
        <w:rPr>
          <w:color w:val="000000"/>
        </w:rPr>
        <w:t>посуда</w:t>
      </w:r>
      <w:r>
        <w:rPr>
          <w:color w:val="000000"/>
        </w:rPr>
        <w:t xml:space="preserve">, </w:t>
      </w:r>
      <w:r>
        <w:rPr>
          <w:color w:val="000000"/>
        </w:rPr>
        <w:t xml:space="preserve">количество комплектов </w:t>
      </w:r>
      <w:r>
        <w:rPr>
          <w:color w:val="000000"/>
        </w:rPr>
        <w:t>которой</w:t>
      </w:r>
      <w:r>
        <w:rPr>
          <w:color w:val="000000"/>
        </w:rPr>
        <w:t xml:space="preserve"> должно полностью обеспечивать одновременное питание участников </w:t>
      </w:r>
      <w:r>
        <w:rPr>
          <w:color w:val="000000"/>
        </w:rPr>
        <w:t>похода</w:t>
      </w:r>
      <w:r>
        <w:rPr>
          <w:color w:val="000000"/>
        </w:rPr>
        <w:t>.</w:t>
      </w:r>
    </w:p>
    <w:p w14:paraId="25000000">
      <w:pPr>
        <w:pStyle w:val="Style_1"/>
        <w:spacing w:after="0" w:before="0"/>
        <w:ind w:firstLine="284" w:left="0"/>
        <w:jc w:val="both"/>
        <w:rPr>
          <w:color w:val="000000"/>
        </w:rPr>
      </w:pPr>
      <w:r>
        <w:rPr>
          <w:color w:val="000000"/>
        </w:rPr>
        <w:t xml:space="preserve">  </w:t>
      </w:r>
      <w:r>
        <w:rPr>
          <w:color w:val="000000"/>
        </w:rPr>
        <w:t xml:space="preserve">  </w:t>
      </w:r>
      <w:r>
        <w:rPr>
          <w:color w:val="000000"/>
        </w:rPr>
        <w:t>После мытья столовая и чайная посуда, столовые приборы просушиваются.</w:t>
      </w:r>
    </w:p>
    <w:p w14:paraId="26000000">
      <w:pPr>
        <w:pStyle w:val="Style_1"/>
        <w:spacing w:after="0" w:before="0"/>
        <w:ind/>
        <w:jc w:val="both"/>
        <w:rPr>
          <w:color w:val="000000"/>
        </w:rPr>
      </w:pPr>
      <w:r>
        <w:rPr>
          <w:color w:val="000000"/>
        </w:rPr>
        <w:t xml:space="preserve">      </w:t>
      </w:r>
      <w:r>
        <w:rPr>
          <w:color w:val="000000"/>
        </w:rPr>
        <w:t xml:space="preserve"> </w:t>
      </w:r>
      <w:r>
        <w:rPr>
          <w:color w:val="000000"/>
        </w:rPr>
        <w:t>В дневной рацион питания должен входить набор продуктов, соответствующий суточной потребности в пище</w:t>
      </w:r>
      <w:r>
        <w:rPr>
          <w:color w:val="000000"/>
        </w:rPr>
        <w:t>вых веществах и энергии детей</w:t>
      </w:r>
      <w:r>
        <w:rPr>
          <w:color w:val="000000"/>
        </w:rPr>
        <w:t>.</w:t>
      </w:r>
    </w:p>
    <w:p w14:paraId="27000000">
      <w:pPr>
        <w:pStyle w:val="Style_1"/>
        <w:spacing w:after="0" w:before="0"/>
        <w:ind/>
        <w:jc w:val="both"/>
        <w:rPr>
          <w:color w:val="000000"/>
        </w:rPr>
      </w:pPr>
      <w:r>
        <w:rPr>
          <w:color w:val="000000"/>
        </w:rPr>
        <w:t>Рекомендуемые среднесуточные наборы пищевых продуктов, в том числе используемые для приготовления блюд и напитков, для детей и подростков приведены в таблице 2 Приложения N 1</w:t>
      </w:r>
      <w:r>
        <w:rPr>
          <w:b w:val="1"/>
        </w:rPr>
        <w:t xml:space="preserve"> </w:t>
      </w:r>
      <w:r>
        <w:t xml:space="preserve">СанПиН </w:t>
      </w:r>
      <w:r>
        <w:rPr>
          <w:color w:val="000000"/>
        </w:rPr>
        <w:t>2.4.4.3048-13</w:t>
      </w:r>
      <w:r>
        <w:rPr>
          <w:color w:val="000000"/>
        </w:rPr>
        <w:t>.</w:t>
      </w:r>
      <w:r>
        <w:rPr>
          <w:rFonts w:ascii="NotoSans" w:hAnsi="NotoSans"/>
        </w:rPr>
        <w:t xml:space="preserve"> </w:t>
      </w:r>
    </w:p>
    <w:p w14:paraId="28000000">
      <w:pPr>
        <w:pStyle w:val="Style_1"/>
        <w:spacing w:after="0" w:before="0"/>
        <w:ind/>
        <w:jc w:val="both"/>
        <w:rPr>
          <w:color w:val="000000"/>
        </w:rPr>
      </w:pPr>
      <w:r>
        <w:rPr>
          <w:color w:val="000000"/>
        </w:rPr>
        <w:t xml:space="preserve">        </w:t>
      </w:r>
      <w:r>
        <w:rPr>
          <w:color w:val="000000"/>
        </w:rPr>
        <w:t>Продукты и блюда, которые не допускаются использовать в питании детей</w:t>
      </w:r>
    </w:p>
    <w:p w14:paraId="29000000">
      <w:pPr>
        <w:pStyle w:val="Style_1"/>
        <w:spacing w:after="0" w:before="0"/>
        <w:ind/>
        <w:jc w:val="both"/>
        <w:rPr>
          <w:color w:val="000000"/>
        </w:rPr>
      </w:pPr>
      <w:r>
        <w:rPr>
          <w:color w:val="000000"/>
        </w:rPr>
        <w:t xml:space="preserve">в </w:t>
      </w:r>
      <w:r>
        <w:rPr>
          <w:color w:val="000000"/>
        </w:rPr>
        <w:t>походах</w:t>
      </w:r>
      <w:r>
        <w:rPr>
          <w:color w:val="000000"/>
        </w:rPr>
        <w:t>, в целях предотвращения возникновения и распространения инфекционных и массовых неинфекционных заболеваний (отравлений):</w:t>
      </w:r>
    </w:p>
    <w:p w14:paraId="2A000000">
      <w:pPr>
        <w:pStyle w:val="Style_1"/>
        <w:spacing w:after="0" w:before="0"/>
        <w:ind/>
        <w:jc w:val="both"/>
        <w:rPr>
          <w:color w:val="000000"/>
        </w:rPr>
      </w:pPr>
      <w:r>
        <w:rPr>
          <w:color w:val="000000"/>
        </w:rPr>
        <w:t>- пищевые продукты с истекшими сроками годности и признаками недоброкачественности;</w:t>
      </w:r>
    </w:p>
    <w:p w14:paraId="2B000000">
      <w:pPr>
        <w:pStyle w:val="Style_1"/>
        <w:spacing w:after="0" w:before="0"/>
        <w:ind/>
        <w:jc w:val="both"/>
        <w:rPr>
          <w:color w:val="000000"/>
        </w:rPr>
      </w:pPr>
      <w:r>
        <w:rPr>
          <w:color w:val="000000"/>
        </w:rPr>
        <w:t>- остатки пищи от предыдущего приема и пищу, приготовленную накануне;</w:t>
      </w:r>
    </w:p>
    <w:p w14:paraId="2C000000">
      <w:pPr>
        <w:pStyle w:val="Style_1"/>
        <w:spacing w:after="0" w:before="0"/>
        <w:ind/>
        <w:jc w:val="both"/>
        <w:rPr>
          <w:color w:val="000000"/>
        </w:rPr>
      </w:pPr>
      <w:r>
        <w:rPr>
          <w:color w:val="000000"/>
        </w:rPr>
        <w:t>- плодоовощную продукцию с признаками порчи и гнили;</w:t>
      </w:r>
    </w:p>
    <w:p w14:paraId="2D000000">
      <w:pPr>
        <w:pStyle w:val="Style_1"/>
        <w:spacing w:after="0" w:before="0"/>
        <w:ind/>
        <w:jc w:val="both"/>
        <w:rPr>
          <w:color w:val="000000"/>
        </w:rPr>
      </w:pPr>
      <w:r>
        <w:rPr>
          <w:color w:val="000000"/>
        </w:rPr>
        <w:t>- мясо, субпродукты всех видов сельскохозяйственных животных, рыбу, не прошедшие ветеринарный контроль;</w:t>
      </w:r>
    </w:p>
    <w:p w14:paraId="2E000000">
      <w:pPr>
        <w:pStyle w:val="Style_1"/>
        <w:spacing w:after="0" w:before="0"/>
        <w:ind/>
        <w:jc w:val="both"/>
        <w:rPr>
          <w:color w:val="000000"/>
        </w:rPr>
      </w:pPr>
      <w:r>
        <w:rPr>
          <w:color w:val="000000"/>
        </w:rPr>
        <w:t>- консервы из мяса свинины; консервы мясные, выработанные в соответствии с техническими условиями (ТУ);</w:t>
      </w:r>
    </w:p>
    <w:p w14:paraId="2F000000">
      <w:pPr>
        <w:pStyle w:val="Style_1"/>
        <w:spacing w:after="0" w:before="0"/>
        <w:ind/>
        <w:jc w:val="both"/>
        <w:rPr>
          <w:color w:val="000000"/>
        </w:rPr>
      </w:pPr>
      <w:r>
        <w:rPr>
          <w:color w:val="000000"/>
        </w:rPr>
        <w:t>- субпродукты, кроме печени, языка, сердца;</w:t>
      </w:r>
    </w:p>
    <w:p w14:paraId="30000000">
      <w:pPr>
        <w:pStyle w:val="Style_1"/>
        <w:spacing w:after="0" w:before="0"/>
        <w:ind/>
        <w:jc w:val="both"/>
        <w:rPr>
          <w:color w:val="000000"/>
        </w:rPr>
      </w:pPr>
      <w:r>
        <w:rPr>
          <w:color w:val="000000"/>
        </w:rPr>
        <w:t>- мясо диких животных, отловленную рыбу;</w:t>
      </w:r>
    </w:p>
    <w:p w14:paraId="31000000">
      <w:pPr>
        <w:pStyle w:val="Style_1"/>
        <w:spacing w:after="0" w:before="0"/>
        <w:ind/>
        <w:jc w:val="both"/>
        <w:rPr>
          <w:color w:val="000000"/>
        </w:rPr>
      </w:pPr>
      <w:r>
        <w:rPr>
          <w:color w:val="000000"/>
        </w:rPr>
        <w:t>- консервы с нарушением герметичности банок, бомбажные, "хлопуши", банки с ржавчиной, деформированные, без этикеток;</w:t>
      </w:r>
    </w:p>
    <w:p w14:paraId="32000000">
      <w:pPr>
        <w:pStyle w:val="Style_1"/>
        <w:spacing w:after="0" w:before="0"/>
        <w:ind/>
        <w:jc w:val="both"/>
        <w:rPr>
          <w:color w:val="000000"/>
        </w:rPr>
      </w:pPr>
      <w:r>
        <w:rPr>
          <w:color w:val="000000"/>
        </w:rPr>
        <w:t>- крупу, сухофрукты и другие продукты, загрязненные различными примесями или зараженные амбарными вредителями;</w:t>
      </w:r>
    </w:p>
    <w:p w14:paraId="33000000">
      <w:pPr>
        <w:pStyle w:val="Style_1"/>
        <w:spacing w:after="0" w:before="0"/>
        <w:ind/>
        <w:jc w:val="both"/>
        <w:rPr>
          <w:color w:val="000000"/>
        </w:rPr>
      </w:pPr>
      <w:r>
        <w:rPr>
          <w:color w:val="000000"/>
        </w:rPr>
        <w:t>- пищевые продукты домашнего (не промышленного) изготовления;</w:t>
      </w:r>
    </w:p>
    <w:p w14:paraId="34000000">
      <w:pPr>
        <w:pStyle w:val="Style_1"/>
        <w:spacing w:after="0" w:before="0"/>
        <w:ind/>
        <w:jc w:val="both"/>
        <w:rPr>
          <w:color w:val="000000"/>
        </w:rPr>
      </w:pPr>
      <w:r>
        <w:rPr>
          <w:color w:val="000000"/>
        </w:rPr>
        <w:t>- кремовые кондитерские изделия (пирожные и торты);</w:t>
      </w:r>
    </w:p>
    <w:p w14:paraId="35000000">
      <w:pPr>
        <w:pStyle w:val="Style_1"/>
        <w:spacing w:after="0" w:before="0"/>
        <w:ind/>
        <w:jc w:val="both"/>
        <w:rPr>
          <w:color w:val="000000"/>
        </w:rPr>
      </w:pPr>
      <w:r>
        <w:rPr>
          <w:color w:val="000000"/>
        </w:rPr>
        <w:t>- зельцы, изделия из мясной обрези, диафрагмы; рулеты из мякоти голов, кровяные и ливерные колбасы;</w:t>
      </w:r>
    </w:p>
    <w:p w14:paraId="36000000">
      <w:pPr>
        <w:pStyle w:val="Style_1"/>
        <w:spacing w:after="0" w:before="0"/>
        <w:ind/>
        <w:jc w:val="both"/>
        <w:rPr>
          <w:color w:val="000000"/>
        </w:rPr>
      </w:pPr>
      <w:r>
        <w:rPr>
          <w:color w:val="000000"/>
        </w:rPr>
        <w:t>- творог, сметану, не прошедшие термическую обработку;</w:t>
      </w:r>
    </w:p>
    <w:p w14:paraId="37000000">
      <w:pPr>
        <w:pStyle w:val="Style_1"/>
        <w:spacing w:after="0" w:before="0"/>
        <w:ind/>
        <w:jc w:val="both"/>
        <w:rPr>
          <w:color w:val="000000"/>
        </w:rPr>
      </w:pPr>
      <w:r>
        <w:rPr>
          <w:color w:val="000000"/>
        </w:rPr>
        <w:t>- простоквашу - "самоквас";</w:t>
      </w:r>
    </w:p>
    <w:p w14:paraId="38000000">
      <w:pPr>
        <w:pStyle w:val="Style_1"/>
        <w:spacing w:after="0" w:before="0"/>
        <w:ind/>
        <w:jc w:val="both"/>
        <w:rPr>
          <w:color w:val="000000"/>
        </w:rPr>
      </w:pPr>
      <w:r>
        <w:rPr>
          <w:color w:val="000000"/>
        </w:rPr>
        <w:t>- грибы и продукты, из них приготовленные (кулинарные изделия);</w:t>
      </w:r>
    </w:p>
    <w:p w14:paraId="39000000">
      <w:pPr>
        <w:pStyle w:val="Style_1"/>
        <w:spacing w:after="0" w:before="0"/>
        <w:ind/>
        <w:jc w:val="both"/>
        <w:rPr>
          <w:color w:val="000000"/>
        </w:rPr>
      </w:pPr>
      <w:r>
        <w:rPr>
          <w:color w:val="000000"/>
        </w:rPr>
        <w:t>- молоко и молочные продукты из хозяйств, неблагополучных по заболеваемости сельскохозяйственных животных, а также не прошедшие первичную обработку и пастеризацию;</w:t>
      </w:r>
    </w:p>
    <w:p w14:paraId="3A000000">
      <w:pPr>
        <w:pStyle w:val="Style_1"/>
        <w:spacing w:after="0" w:before="0"/>
        <w:ind/>
        <w:jc w:val="both"/>
        <w:rPr>
          <w:color w:val="000000"/>
        </w:rPr>
      </w:pPr>
      <w:r>
        <w:rPr>
          <w:color w:val="000000"/>
        </w:rPr>
        <w:t>- блюда, изготовленные из сырых мяса, рыбы, не прошедших тепловую обработку;</w:t>
      </w:r>
    </w:p>
    <w:p w14:paraId="3B000000">
      <w:pPr>
        <w:pStyle w:val="Style_1"/>
        <w:spacing w:after="0" w:before="0"/>
        <w:ind/>
        <w:jc w:val="both"/>
        <w:rPr>
          <w:color w:val="000000"/>
        </w:rPr>
      </w:pPr>
      <w:r>
        <w:rPr>
          <w:color w:val="000000"/>
        </w:rPr>
        <w:t>- запеканки (мясные, рыбные, творожные, крупяные);</w:t>
      </w:r>
    </w:p>
    <w:p w14:paraId="3C000000">
      <w:pPr>
        <w:pStyle w:val="Style_1"/>
        <w:spacing w:after="0" w:before="0"/>
        <w:ind/>
        <w:jc w:val="both"/>
        <w:rPr>
          <w:color w:val="000000"/>
        </w:rPr>
      </w:pPr>
      <w:r>
        <w:rPr>
          <w:color w:val="000000"/>
        </w:rPr>
        <w:t>- жареные во фритюре пищевые продукты и изделия;</w:t>
      </w:r>
    </w:p>
    <w:p w14:paraId="3D000000">
      <w:pPr>
        <w:pStyle w:val="Style_1"/>
        <w:spacing w:after="0" w:before="0"/>
        <w:ind/>
        <w:jc w:val="both"/>
        <w:rPr>
          <w:color w:val="000000"/>
        </w:rPr>
      </w:pPr>
      <w:r>
        <w:rPr>
          <w:color w:val="000000"/>
        </w:rPr>
        <w:t>-изделия из рубленного мяса и рыбы, приготовленные в условиях палаточного лагеря;</w:t>
      </w:r>
    </w:p>
    <w:p w14:paraId="3E000000">
      <w:pPr>
        <w:pStyle w:val="Style_1"/>
        <w:spacing w:after="0" w:before="0"/>
        <w:ind/>
        <w:jc w:val="both"/>
        <w:rPr>
          <w:color w:val="000000"/>
        </w:rPr>
      </w:pPr>
      <w:r>
        <w:rPr>
          <w:color w:val="000000"/>
        </w:rPr>
        <w:t>- уксус, горчицу, хрен, перец острый (красный, черный) и другие острые (жгучие) приправы;</w:t>
      </w:r>
    </w:p>
    <w:p w14:paraId="3F000000">
      <w:pPr>
        <w:pStyle w:val="Style_1"/>
        <w:spacing w:after="0" w:before="0"/>
        <w:ind/>
        <w:jc w:val="both"/>
        <w:rPr>
          <w:color w:val="000000"/>
        </w:rPr>
      </w:pPr>
      <w:r>
        <w:rPr>
          <w:color w:val="000000"/>
        </w:rPr>
        <w:t>- острые соусы, кетчупы, майонез, маринованные овощи и фрукты, в том числе в виде салатов;</w:t>
      </w:r>
    </w:p>
    <w:p w14:paraId="40000000">
      <w:pPr>
        <w:pStyle w:val="Style_1"/>
        <w:spacing w:after="0" w:before="0"/>
        <w:ind/>
        <w:jc w:val="both"/>
        <w:rPr>
          <w:color w:val="000000"/>
        </w:rPr>
      </w:pPr>
      <w:r>
        <w:rPr>
          <w:color w:val="000000"/>
        </w:rPr>
        <w:t>- кофе натуральный; тонизирующие, в том числе энергетические напитки, алкоголь;</w:t>
      </w:r>
    </w:p>
    <w:p w14:paraId="41000000">
      <w:pPr>
        <w:pStyle w:val="Style_1"/>
        <w:spacing w:after="0" w:before="0"/>
        <w:ind/>
        <w:jc w:val="both"/>
        <w:rPr>
          <w:color w:val="000000"/>
        </w:rPr>
      </w:pPr>
      <w:r>
        <w:rPr>
          <w:color w:val="000000"/>
        </w:rPr>
        <w:t>- кулинарные жиры, маргарин и другие гидрогенизированные жиры;</w:t>
      </w:r>
    </w:p>
    <w:p w14:paraId="42000000">
      <w:pPr>
        <w:pStyle w:val="Style_1"/>
        <w:spacing w:after="0" w:before="0"/>
        <w:ind/>
        <w:jc w:val="both"/>
        <w:rPr>
          <w:color w:val="000000"/>
        </w:rPr>
      </w:pPr>
      <w:r>
        <w:rPr>
          <w:color w:val="000000"/>
        </w:rPr>
        <w:t>- ядро абрикосовой косточки, арахис;</w:t>
      </w:r>
    </w:p>
    <w:p w14:paraId="43000000">
      <w:pPr>
        <w:pStyle w:val="Style_1"/>
        <w:spacing w:after="0" w:before="0"/>
        <w:ind/>
        <w:jc w:val="both"/>
        <w:rPr>
          <w:color w:val="000000"/>
        </w:rPr>
      </w:pPr>
      <w:r>
        <w:rPr>
          <w:color w:val="000000"/>
        </w:rPr>
        <w:t>- кумыс и другие кисломолочные продукты с содержанием этанола (более 0,5%);</w:t>
      </w:r>
    </w:p>
    <w:p w14:paraId="44000000">
      <w:pPr>
        <w:pStyle w:val="Style_1"/>
        <w:spacing w:after="0" w:before="0"/>
        <w:ind/>
        <w:jc w:val="both"/>
        <w:rPr>
          <w:color w:val="000000"/>
        </w:rPr>
      </w:pPr>
      <w:r>
        <w:rPr>
          <w:color w:val="000000"/>
        </w:rPr>
        <w:t>- заливные блюда (мясные и рыбные), студни, форшмак из сельди;</w:t>
      </w:r>
    </w:p>
    <w:p w14:paraId="45000000">
      <w:pPr>
        <w:pStyle w:val="Style_1"/>
        <w:spacing w:after="0" w:before="0"/>
        <w:ind/>
        <w:jc w:val="both"/>
        <w:rPr>
          <w:color w:val="000000"/>
        </w:rPr>
      </w:pPr>
      <w:r>
        <w:rPr>
          <w:color w:val="000000"/>
        </w:rPr>
        <w:t>- холодные напитки и морсы, без термической обработки, из плодово-ягодного сырья;</w:t>
      </w:r>
    </w:p>
    <w:p w14:paraId="46000000">
      <w:pPr>
        <w:pStyle w:val="Style_1"/>
        <w:spacing w:after="0" w:before="0"/>
        <w:ind/>
        <w:jc w:val="both"/>
        <w:rPr>
          <w:color w:val="000000"/>
        </w:rPr>
      </w:pPr>
      <w:r>
        <w:rPr>
          <w:color w:val="000000"/>
        </w:rPr>
        <w:t>- окрошки и холодные супы;</w:t>
      </w:r>
    </w:p>
    <w:p w14:paraId="47000000">
      <w:pPr>
        <w:pStyle w:val="Style_1"/>
        <w:spacing w:after="0" w:before="0"/>
        <w:ind/>
        <w:jc w:val="both"/>
        <w:rPr>
          <w:color w:val="000000"/>
        </w:rPr>
      </w:pPr>
      <w:r>
        <w:rPr>
          <w:color w:val="000000"/>
        </w:rPr>
        <w:t>- макароны по-флотски (с мясным фаршем), макароны с рубленым яйцом;</w:t>
      </w:r>
    </w:p>
    <w:p w14:paraId="48000000">
      <w:pPr>
        <w:pStyle w:val="Style_1"/>
        <w:spacing w:after="0" w:before="0"/>
        <w:ind/>
        <w:jc w:val="both"/>
        <w:rPr>
          <w:color w:val="000000"/>
        </w:rPr>
      </w:pPr>
      <w:r>
        <w:rPr>
          <w:color w:val="000000"/>
        </w:rPr>
        <w:t>- паштеты, за исключением консервированных промышленным способом;</w:t>
      </w:r>
    </w:p>
    <w:p w14:paraId="49000000">
      <w:pPr>
        <w:pStyle w:val="Style_1"/>
        <w:spacing w:after="0" w:before="0"/>
        <w:ind/>
        <w:jc w:val="both"/>
        <w:rPr>
          <w:color w:val="000000"/>
        </w:rPr>
      </w:pPr>
      <w:r>
        <w:rPr>
          <w:color w:val="000000"/>
        </w:rPr>
        <w:t>- блинчики с мясом и с творогом;</w:t>
      </w:r>
    </w:p>
    <w:p w14:paraId="4A000000">
      <w:pPr>
        <w:pStyle w:val="Style_1"/>
        <w:spacing w:after="0" w:before="0"/>
        <w:ind/>
        <w:jc w:val="both"/>
        <w:rPr>
          <w:color w:val="000000"/>
        </w:rPr>
      </w:pPr>
      <w:r>
        <w:rPr>
          <w:color w:val="000000"/>
        </w:rPr>
        <w:t>- салаты, приготовленные в условиях палаточного лагеря;</w:t>
      </w:r>
    </w:p>
    <w:p w14:paraId="4B000000">
      <w:pPr>
        <w:pStyle w:val="Style_1"/>
        <w:spacing w:after="0" w:before="0"/>
        <w:ind/>
        <w:jc w:val="both"/>
        <w:rPr>
          <w:color w:val="000000"/>
        </w:rPr>
      </w:pPr>
      <w:r>
        <w:rPr>
          <w:color w:val="000000"/>
        </w:rPr>
        <w:t>- блюда с добавлением рубленного яйца;</w:t>
      </w:r>
    </w:p>
    <w:p w14:paraId="4C000000">
      <w:pPr>
        <w:pStyle w:val="Style_1"/>
        <w:spacing w:after="0" w:before="0"/>
        <w:ind/>
        <w:jc w:val="both"/>
        <w:rPr>
          <w:color w:val="000000"/>
        </w:rPr>
      </w:pPr>
      <w:r>
        <w:rPr>
          <w:color w:val="000000"/>
        </w:rPr>
        <w:t>- яичницу-глазунью;</w:t>
      </w:r>
    </w:p>
    <w:p w14:paraId="4D000000">
      <w:pPr>
        <w:pStyle w:val="Style_1"/>
        <w:spacing w:after="0" w:before="0"/>
        <w:ind/>
        <w:jc w:val="both"/>
        <w:rPr>
          <w:color w:val="000000"/>
        </w:rPr>
      </w:pPr>
      <w:r>
        <w:rPr>
          <w:color w:val="000000"/>
        </w:rPr>
        <w:t>- газированные напитки и напитки на основе синтетических ароматизаторов;</w:t>
      </w:r>
    </w:p>
    <w:p w14:paraId="4E000000">
      <w:pPr>
        <w:pStyle w:val="Style_1"/>
        <w:spacing w:after="0" w:before="0"/>
        <w:ind/>
        <w:jc w:val="both"/>
        <w:rPr>
          <w:color w:val="000000"/>
        </w:rPr>
      </w:pPr>
      <w:r>
        <w:rPr>
          <w:color w:val="000000"/>
        </w:rPr>
        <w:t>- не допускается переливание кисломолочных напитков (кефир, ряженка, простокваша, ацидофилин и других) из потребительской тары в емкости (их порционируют непосредственно из бутылок, пакетов в стаканы перед раздачей пищи).</w:t>
      </w:r>
    </w:p>
    <w:p w14:paraId="4F000000">
      <w:pPr>
        <w:pStyle w:val="Style_1"/>
        <w:spacing w:after="0" w:before="0"/>
        <w:ind/>
        <w:jc w:val="both"/>
        <w:rPr>
          <w:b w:val="1"/>
          <w:color w:val="000000"/>
        </w:rPr>
      </w:pPr>
      <w:r>
        <w:rPr>
          <w:b w:val="1"/>
          <w:color w:val="000000"/>
        </w:rPr>
        <w:t xml:space="preserve">     Запрещается сбор грибов и ягод для еды и приготовления пищи. </w:t>
      </w:r>
    </w:p>
    <w:p w14:paraId="50000000">
      <w:pPr>
        <w:pStyle w:val="Style_1"/>
        <w:spacing w:after="0" w:before="0"/>
        <w:ind/>
        <w:jc w:val="both"/>
        <w:rPr>
          <w:color w:val="000000"/>
        </w:rPr>
      </w:pPr>
      <w:r>
        <w:rPr>
          <w:color w:val="000000"/>
        </w:rPr>
        <w:t xml:space="preserve">        </w:t>
      </w:r>
      <w:r>
        <w:rPr>
          <w:color w:val="000000"/>
        </w:rPr>
        <w:t>При организации питания в походах необходимо руководствоваться рекомендуемым набором продуктов для походов</w:t>
      </w:r>
      <w:r>
        <w:rPr>
          <w:color w:val="000000"/>
        </w:rPr>
        <w:t>:</w:t>
      </w:r>
      <w:r>
        <w:rPr>
          <w:color w:val="000000"/>
        </w:rPr>
        <w:t xml:space="preserve"> </w:t>
      </w:r>
    </w:p>
    <w:p w14:paraId="51000000">
      <w:pPr>
        <w:pStyle w:val="Style_1"/>
        <w:spacing w:after="0" w:before="0"/>
        <w:ind w:firstLine="0" w:left="284"/>
        <w:jc w:val="both"/>
        <w:rPr>
          <w:color w:val="000000"/>
        </w:rPr>
      </w:pPr>
      <w:r>
        <w:rPr>
          <w:color w:val="000000"/>
        </w:rPr>
        <w:drawing>
          <wp:inline>
            <wp:extent cx="4963160" cy="3931920"/>
            <wp:docPr id="2" name="Picture"/>
            <a:graphic>
              <a:graphicData uri="http://schemas.openxmlformats.org/drawingml/2006/picture">
                <pic:pic>
                  <pic:nvPicPr>
                    <pic:cNvPr id="0" name="picture"/>
                    <pic:cNvPicPr preferRelativeResize="true"/>
                  </pic:nvPicPr>
                  <pic:blipFill>
                    <a:blip r:embed="rId2" r:link=""/>
                    <a:stretch/>
                  </pic:blipFill>
                  <pic:spPr>
                    <a:xfrm rot="0">
                      <a:off x="0" y="0"/>
                      <a:ext cx="4963160" cy="3931920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52000000">
      <w:pPr>
        <w:pStyle w:val="Style_1"/>
        <w:spacing w:after="0" w:before="0"/>
        <w:ind w:firstLine="0" w:left="0"/>
        <w:jc w:val="both"/>
        <w:rPr>
          <w:b w:val="1"/>
          <w:i w:val="1"/>
          <w:color w:val="000000"/>
          <w:u w:val="single"/>
        </w:rPr>
      </w:pPr>
      <w:r>
        <w:rPr>
          <w:b w:val="1"/>
          <w:i w:val="1"/>
          <w:color w:val="000000"/>
          <w:u w:val="single"/>
        </w:rPr>
        <w:t xml:space="preserve">2.5. </w:t>
      </w:r>
      <w:r>
        <w:rPr>
          <w:b w:val="1"/>
          <w:i w:val="1"/>
          <w:color w:val="000000"/>
          <w:u w:val="single"/>
        </w:rPr>
        <w:t>К медицинскому обслуживанию</w:t>
      </w:r>
      <w:r>
        <w:rPr>
          <w:b w:val="1"/>
          <w:i w:val="1"/>
          <w:color w:val="000000"/>
          <w:u w:val="single"/>
        </w:rPr>
        <w:t>:</w:t>
      </w:r>
    </w:p>
    <w:p w14:paraId="53000000">
      <w:pPr>
        <w:pStyle w:val="Style_1"/>
        <w:spacing w:after="0" w:before="0"/>
        <w:ind w:firstLine="0" w:left="0"/>
        <w:jc w:val="both"/>
        <w:rPr>
          <w:color w:val="000000"/>
        </w:rPr>
      </w:pPr>
      <w:r>
        <w:rPr>
          <w:color w:val="000000"/>
        </w:rPr>
        <w:t xml:space="preserve">  </w:t>
      </w:r>
      <w:r>
        <w:rPr>
          <w:color w:val="000000"/>
        </w:rPr>
        <w:t xml:space="preserve">       </w:t>
      </w:r>
      <w:r>
        <w:rPr>
          <w:color w:val="000000"/>
        </w:rPr>
        <w:t>В</w:t>
      </w:r>
      <w:r>
        <w:rPr>
          <w:color w:val="000000"/>
        </w:rPr>
        <w:t xml:space="preserve"> поход допускаются дети,  получившие допуск врача по состоянию здоровья и не имеющие контакта с инфекционными больными в течение  21 дня</w:t>
      </w:r>
      <w:r>
        <w:rPr>
          <w:color w:val="000000"/>
        </w:rPr>
        <w:t xml:space="preserve">.  В </w:t>
      </w:r>
      <w:r>
        <w:rPr>
          <w:color w:val="000000"/>
        </w:rPr>
        <w:t xml:space="preserve"> </w:t>
      </w:r>
      <w:r>
        <w:rPr>
          <w:color w:val="000000"/>
        </w:rPr>
        <w:t xml:space="preserve"> период </w:t>
      </w:r>
      <w:r>
        <w:rPr>
          <w:color w:val="000000"/>
        </w:rPr>
        <w:t xml:space="preserve">похода </w:t>
      </w:r>
      <w:r>
        <w:rPr>
          <w:color w:val="000000"/>
        </w:rPr>
        <w:t xml:space="preserve">может быть оказана только первая медицинская помощь, далее </w:t>
      </w:r>
      <w:r>
        <w:rPr>
          <w:color w:val="000000"/>
        </w:rPr>
        <w:t>(</w:t>
      </w:r>
      <w:r>
        <w:rPr>
          <w:color w:val="000000"/>
        </w:rPr>
        <w:t>с учетом состояния здоровья</w:t>
      </w:r>
      <w:r>
        <w:rPr>
          <w:color w:val="000000"/>
        </w:rPr>
        <w:t>)</w:t>
      </w:r>
      <w:r>
        <w:rPr>
          <w:color w:val="000000"/>
        </w:rPr>
        <w:t xml:space="preserve"> ребенок должен быть транспортирован в лечебно-профилактическое учреждение.</w:t>
      </w:r>
    </w:p>
    <w:p w14:paraId="54000000">
      <w:pPr>
        <w:pStyle w:val="Style_1"/>
        <w:spacing w:after="0" w:before="0"/>
        <w:ind w:firstLine="0" w:left="0"/>
        <w:jc w:val="both"/>
        <w:rPr>
          <w:color w:val="000000"/>
        </w:rPr>
      </w:pPr>
      <w:r>
        <w:rPr>
          <w:color w:val="000000"/>
        </w:rPr>
        <w:t xml:space="preserve">  </w:t>
      </w:r>
      <w:r>
        <w:rPr>
          <w:color w:val="000000"/>
        </w:rPr>
        <w:t xml:space="preserve">     </w:t>
      </w:r>
      <w:r>
        <w:rPr>
          <w:color w:val="000000"/>
        </w:rPr>
        <w:t xml:space="preserve"> О</w:t>
      </w:r>
      <w:r>
        <w:rPr>
          <w:color w:val="000000"/>
        </w:rPr>
        <w:t xml:space="preserve">казание первой медицинской помощи детям в </w:t>
      </w:r>
      <w:r>
        <w:rPr>
          <w:color w:val="000000"/>
        </w:rPr>
        <w:t>походах</w:t>
      </w:r>
      <w:r>
        <w:rPr>
          <w:color w:val="000000"/>
        </w:rPr>
        <w:t xml:space="preserve"> может осуществляться медицинским работником или лицом, выделенным из числа лиц, сопровождающих детей в период отдыха и прошедших специальную подготовку по оказанию первой помощи.</w:t>
      </w:r>
    </w:p>
    <w:p w14:paraId="55000000">
      <w:pPr>
        <w:pStyle w:val="Style_1"/>
        <w:spacing w:after="0" w:before="0"/>
        <w:ind w:firstLine="0" w:left="0"/>
        <w:jc w:val="both"/>
        <w:rPr>
          <w:rFonts w:ascii="Verdana" w:hAnsi="Verdana"/>
          <w:b w:val="1"/>
          <w:color w:val="3F3F3F"/>
          <w:sz w:val="48"/>
        </w:rPr>
      </w:pPr>
      <w:r>
        <w:t xml:space="preserve">           </w:t>
      </w:r>
      <w:r>
        <w:t xml:space="preserve">Перед походом необходимо ознакомиться с методами оказания первой медицинской помощи, в случае возникновения непредвиденной ситуации (укус змеи, насекомых, порезы и т.д.). </w:t>
      </w:r>
      <w:r>
        <w:t xml:space="preserve">Для оказания первой помощи детям используется аптечка, комплектация которой утверждена приказом Минздравсоцразвития России от 05.03.2011 N 169н </w:t>
      </w:r>
      <w:r>
        <w:t>«</w:t>
      </w:r>
      <w:r>
        <w:t>Об утверждении требований к комплектации изделиями медицинского назначения аптечек для ок</w:t>
      </w:r>
      <w:r>
        <w:t>азания первой помощи работникам».</w:t>
      </w:r>
    </w:p>
    <w:sectPr>
      <w:pgSz w:h="16838" w:w="11906"/>
      <w:pgMar w:bottom="1134" w:footer="708" w:gutter="0" w:header="708" w:left="993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0">
    <w:lvl w:ilvl="0">
      <w:start w:val="1"/>
      <w:numFmt w:val="bullet"/>
      <w:lvlText w:val=""/>
      <w:pPr>
        <w:tabs>
          <w:tab w:leader="none" w:pos="720" w:val="left"/>
        </w:tabs>
        <w:ind w:hanging="360" w:left="720"/>
      </w:pPr>
      <w:rPr>
        <w:rFonts w:ascii="Symbol" w:hAnsi="Symbol"/>
      </w:rPr>
    </w:lvl>
    <w:lvl w:ilvl="1">
      <w:start w:val="1"/>
      <w:numFmt w:val="bullet"/>
      <w:lvlText w:val="o"/>
      <w:pPr>
        <w:tabs>
          <w:tab w:leader="none" w:pos="1440" w:val="left"/>
        </w:tabs>
        <w:ind w:hanging="360" w:left="1440"/>
      </w:pPr>
      <w:rPr>
        <w:rFonts w:ascii="Courier New" w:hAnsi="Courier New"/>
      </w:rPr>
    </w:lvl>
    <w:lvl w:ilvl="2">
      <w:start w:val="1"/>
      <w:numFmt w:val="bullet"/>
      <w:lvlText w:val=""/>
      <w:pPr>
        <w:tabs>
          <w:tab w:leader="none" w:pos="2160" w:val="left"/>
        </w:tabs>
        <w:ind w:hanging="360" w:left="2160"/>
      </w:pPr>
      <w:rPr>
        <w:rFonts w:ascii="Wingdings" w:hAnsi="Wingdings"/>
      </w:rPr>
    </w:lvl>
    <w:lvl w:ilvl="3">
      <w:start w:val="1"/>
      <w:numFmt w:val="bullet"/>
      <w:lvlText w:val=""/>
      <w:pPr>
        <w:tabs>
          <w:tab w:leader="none" w:pos="2880" w:val="left"/>
        </w:tabs>
        <w:ind w:hanging="360" w:left="2880"/>
      </w:pPr>
      <w:rPr>
        <w:rFonts w:ascii="Symbol" w:hAnsi="Symbol"/>
      </w:rPr>
    </w:lvl>
    <w:lvl w:ilvl="4">
      <w:start w:val="1"/>
      <w:numFmt w:val="bullet"/>
      <w:lvlText w:val="o"/>
      <w:pPr>
        <w:tabs>
          <w:tab w:leader="none" w:pos="3600" w:val="left"/>
        </w:tabs>
        <w:ind w:hanging="360" w:left="3600"/>
      </w:pPr>
      <w:rPr>
        <w:rFonts w:ascii="Courier New" w:hAnsi="Courier New"/>
      </w:rPr>
    </w:lvl>
    <w:lvl w:ilvl="5">
      <w:start w:val="1"/>
      <w:numFmt w:val="bullet"/>
      <w:lvlText w:val=""/>
      <w:pPr>
        <w:tabs>
          <w:tab w:leader="none" w:pos="4320" w:val="left"/>
        </w:tabs>
        <w:ind w:hanging="360" w:left="4320"/>
      </w:pPr>
      <w:rPr>
        <w:rFonts w:ascii="Wingdings" w:hAnsi="Wingdings"/>
      </w:rPr>
    </w:lvl>
    <w:lvl w:ilvl="6">
      <w:start w:val="1"/>
      <w:numFmt w:val="bullet"/>
      <w:lvlText w:val=""/>
      <w:pPr>
        <w:tabs>
          <w:tab w:leader="none" w:pos="5040" w:val="left"/>
        </w:tabs>
        <w:ind w:hanging="360" w:left="5040"/>
      </w:pPr>
      <w:rPr>
        <w:rFonts w:ascii="Symbol" w:hAnsi="Symbol"/>
      </w:rPr>
    </w:lvl>
    <w:lvl w:ilvl="7">
      <w:start w:val="1"/>
      <w:numFmt w:val="bullet"/>
      <w:lvlText w:val="o"/>
      <w:pPr>
        <w:tabs>
          <w:tab w:leader="none" w:pos="5760" w:val="left"/>
        </w:tabs>
        <w:ind w:hanging="360" w:left="5760"/>
      </w:pPr>
      <w:rPr>
        <w:rFonts w:ascii="Courier New" w:hAnsi="Courier New"/>
      </w:rPr>
    </w:lvl>
    <w:lvl w:ilvl="8">
      <w:start w:val="1"/>
      <w:numFmt w:val="bullet"/>
      <w:lvlText w:val=""/>
      <w:pPr>
        <w:tabs>
          <w:tab w:leader="none" w:pos="6480" w:val="left"/>
        </w:tabs>
        <w:ind w:hanging="360" w:left="6480"/>
      </w:pPr>
      <w:rPr>
        <w:rFonts w:ascii="Wingdings" w:hAnsi="Wingdings"/>
      </w:rPr>
    </w:lvl>
  </w:abstractNum>
  <w:abstractNum w:abstractNumId="1">
    <w:lvl w:ilvl="0">
      <w:start w:val="1"/>
      <w:numFmt w:val="bullet"/>
      <w:lvlText w:val=""/>
      <w:pPr>
        <w:ind w:hanging="360" w:left="720"/>
      </w:pPr>
      <w:rPr>
        <w:rFonts w:ascii="Wingdings" w:hAnsi="Wingdings"/>
      </w:rPr>
    </w:lvl>
    <w:lvl w:ilvl="1">
      <w:start w:val="1"/>
      <w:numFmt w:val="bullet"/>
      <w:lvlText w:val="o"/>
      <w:pPr>
        <w:ind w:hanging="360" w:left="1440"/>
      </w:pPr>
      <w:rPr>
        <w:rFonts w:ascii="Courier New" w:hAnsi="Courier New"/>
      </w:rPr>
    </w:lvl>
    <w:lvl w:ilvl="2">
      <w:start w:val="1"/>
      <w:numFmt w:val="bullet"/>
      <w:lvlText w:val=""/>
      <w:pPr>
        <w:ind w:hanging="360" w:left="2160"/>
      </w:pPr>
      <w:rPr>
        <w:rFonts w:ascii="Wingdings" w:hAnsi="Wingdings"/>
      </w:rPr>
    </w:lvl>
    <w:lvl w:ilvl="3">
      <w:start w:val="1"/>
      <w:numFmt w:val="bullet"/>
      <w:lvlText w:val=""/>
      <w:pPr>
        <w:ind w:hanging="360" w:left="2880"/>
      </w:pPr>
      <w:rPr>
        <w:rFonts w:ascii="Symbol" w:hAnsi="Symbol"/>
      </w:rPr>
    </w:lvl>
    <w:lvl w:ilvl="4">
      <w:start w:val="1"/>
      <w:numFmt w:val="bullet"/>
      <w:lvlText w:val="o"/>
      <w:pPr>
        <w:ind w:hanging="360" w:left="3600"/>
      </w:pPr>
      <w:rPr>
        <w:rFonts w:ascii="Courier New" w:hAnsi="Courier New"/>
      </w:rPr>
    </w:lvl>
    <w:lvl w:ilvl="5">
      <w:start w:val="1"/>
      <w:numFmt w:val="bullet"/>
      <w:lvlText w:val=""/>
      <w:pPr>
        <w:ind w:hanging="360" w:left="4320"/>
      </w:pPr>
      <w:rPr>
        <w:rFonts w:ascii="Wingdings" w:hAnsi="Wingdings"/>
      </w:rPr>
    </w:lvl>
    <w:lvl w:ilvl="6">
      <w:start w:val="1"/>
      <w:numFmt w:val="bullet"/>
      <w:lvlText w:val=""/>
      <w:pPr>
        <w:ind w:hanging="360" w:left="5040"/>
      </w:pPr>
      <w:rPr>
        <w:rFonts w:ascii="Symbol" w:hAnsi="Symbol"/>
      </w:rPr>
    </w:lvl>
    <w:lvl w:ilvl="7">
      <w:start w:val="1"/>
      <w:numFmt w:val="bullet"/>
      <w:lvlText w:val="o"/>
      <w:pPr>
        <w:ind w:hanging="360" w:left="5760"/>
      </w:pPr>
      <w:rPr>
        <w:rFonts w:ascii="Courier New" w:hAnsi="Courier New"/>
      </w:rPr>
    </w:lvl>
    <w:lvl w:ilvl="8">
      <w:start w:val="1"/>
      <w:numFmt w:val="bullet"/>
      <w:lvlText w:val=""/>
      <w:pPr>
        <w:ind w:hanging="360" w:left="6480"/>
      </w:pPr>
      <w:rPr>
        <w:rFonts w:ascii="Wingdings" w:hAnsi="Wingdings"/>
      </w:rPr>
    </w:lvl>
  </w:abstractNum>
  <w:num w:numId="1">
    <w:abstractNumId w:val="0"/>
  </w:num>
  <w:num w:numId="2">
    <w:abstractNumId w:val="1"/>
  </w:num>
  <w:num w:numId="3">
    <w:abstractNumId w:val="1"/>
  </w:num>
</w:numbering>
</file>

<file path=word/settings.xml><?xml version="1.0" encoding="utf-8"?>
<w:settings xmlns:w="http://schemas.openxmlformats.org/wordprocessingml/2006/main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ing 10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toc 10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  <w:rPr>
      <w:sz w:val="24"/>
    </w:rPr>
  </w:style>
  <w:style w:default="1" w:styleId="Style_3_ch" w:type="character">
    <w:name w:val="Normal"/>
    <w:link w:val="Style_3"/>
    <w:rPr>
      <w:sz w:val="24"/>
    </w:rPr>
  </w:style>
  <w:style w:styleId="Style_4" w:type="paragraph">
    <w:name w:val="toc 2"/>
    <w:link w:val="Style_4_ch"/>
    <w:uiPriority w:val="39"/>
    <w:pPr>
      <w:ind w:firstLine="0" w:left="200"/>
    </w:pPr>
  </w:style>
  <w:style w:styleId="Style_4_ch" w:type="character">
    <w:name w:val="toc 2"/>
    <w:link w:val="Style_4"/>
  </w:style>
  <w:style w:styleId="Style_5" w:type="paragraph">
    <w:name w:val="toc 4"/>
    <w:link w:val="Style_5_ch"/>
    <w:uiPriority w:val="39"/>
    <w:pPr>
      <w:ind w:firstLine="0" w:left="600"/>
    </w:pPr>
  </w:style>
  <w:style w:styleId="Style_5_ch" w:type="character">
    <w:name w:val="toc 4"/>
    <w:link w:val="Style_5"/>
  </w:style>
  <w:style w:styleId="Style_6" w:type="paragraph">
    <w:name w:val="toc 6"/>
    <w:link w:val="Style_6_ch"/>
    <w:uiPriority w:val="39"/>
    <w:pPr>
      <w:ind w:firstLine="0" w:left="1000"/>
    </w:pPr>
  </w:style>
  <w:style w:styleId="Style_6_ch" w:type="character">
    <w:name w:val="toc 6"/>
    <w:link w:val="Style_6"/>
  </w:style>
  <w:style w:styleId="Style_7" w:type="paragraph">
    <w:name w:val="toc 7"/>
    <w:link w:val="Style_7_ch"/>
    <w:uiPriority w:val="39"/>
    <w:pPr>
      <w:ind w:firstLine="0" w:left="1200"/>
    </w:pPr>
  </w:style>
  <w:style w:styleId="Style_7_ch" w:type="character">
    <w:name w:val="toc 7"/>
    <w:link w:val="Style_7"/>
  </w:style>
  <w:style w:styleId="Style_8" w:type="paragraph">
    <w:name w:val="heading 3"/>
    <w:basedOn w:val="Style_3"/>
    <w:link w:val="Style_8_ch"/>
    <w:uiPriority w:val="9"/>
    <w:qFormat/>
    <w:pPr>
      <w:spacing w:afterAutospacing="on" w:beforeAutospacing="on"/>
      <w:ind/>
      <w:outlineLvl w:val="2"/>
    </w:pPr>
    <w:rPr>
      <w:b w:val="1"/>
      <w:sz w:val="27"/>
    </w:rPr>
  </w:style>
  <w:style w:styleId="Style_8_ch" w:type="character">
    <w:name w:val="heading 3"/>
    <w:basedOn w:val="Style_3_ch"/>
    <w:link w:val="Style_8"/>
    <w:rPr>
      <w:b w:val="1"/>
      <w:sz w:val="27"/>
    </w:rPr>
  </w:style>
  <w:style w:styleId="Style_9" w:type="paragraph">
    <w:name w:val="ConsPlusNormal"/>
    <w:link w:val="Style_9_ch"/>
    <w:pPr>
      <w:widowControl w:val="0"/>
      <w:ind w:firstLine="720" w:left="0"/>
    </w:pPr>
    <w:rPr>
      <w:rFonts w:ascii="Arial" w:hAnsi="Arial"/>
    </w:rPr>
  </w:style>
  <w:style w:styleId="Style_9_ch" w:type="character">
    <w:name w:val="ConsPlusNormal"/>
    <w:link w:val="Style_9"/>
    <w:rPr>
      <w:rFonts w:ascii="Arial" w:hAnsi="Arial"/>
    </w:rPr>
  </w:style>
  <w:style w:styleId="Style_1" w:type="paragraph">
    <w:name w:val="Normal (Web)"/>
    <w:basedOn w:val="Style_3"/>
    <w:link w:val="Style_1_ch"/>
    <w:pPr>
      <w:spacing w:afterAutospacing="on" w:beforeAutospacing="on"/>
      <w:ind/>
    </w:pPr>
  </w:style>
  <w:style w:styleId="Style_1_ch" w:type="character">
    <w:name w:val="Normal (Web)"/>
    <w:basedOn w:val="Style_3_ch"/>
    <w:link w:val="Style_1"/>
  </w:style>
  <w:style w:styleId="Style_10" w:type="paragraph">
    <w:name w:val="apple-converted-space"/>
    <w:basedOn w:val="Style_11"/>
    <w:link w:val="Style_10_ch"/>
  </w:style>
  <w:style w:styleId="Style_10_ch" w:type="character">
    <w:name w:val="apple-converted-space"/>
    <w:basedOn w:val="Style_11_ch"/>
    <w:link w:val="Style_10"/>
  </w:style>
  <w:style w:styleId="Style_12" w:type="paragraph">
    <w:name w:val="toc 3"/>
    <w:link w:val="Style_12_ch"/>
    <w:uiPriority w:val="39"/>
    <w:pPr>
      <w:ind w:firstLine="0" w:left="400"/>
    </w:pPr>
  </w:style>
  <w:style w:styleId="Style_12_ch" w:type="character">
    <w:name w:val="toc 3"/>
    <w:link w:val="Style_12"/>
  </w:style>
  <w:style w:styleId="Style_13" w:type="paragraph">
    <w:name w:val="heading 5"/>
    <w:basedOn w:val="Style_3"/>
    <w:link w:val="Style_13_ch"/>
    <w:uiPriority w:val="9"/>
    <w:qFormat/>
    <w:pPr>
      <w:spacing w:afterAutospacing="on" w:beforeAutospacing="on"/>
      <w:ind/>
      <w:outlineLvl w:val="4"/>
    </w:pPr>
    <w:rPr>
      <w:b w:val="1"/>
      <w:sz w:val="20"/>
    </w:rPr>
  </w:style>
  <w:style w:styleId="Style_13_ch" w:type="character">
    <w:name w:val="heading 5"/>
    <w:basedOn w:val="Style_3_ch"/>
    <w:link w:val="Style_13"/>
    <w:rPr>
      <w:b w:val="1"/>
      <w:sz w:val="20"/>
    </w:rPr>
  </w:style>
  <w:style w:styleId="Style_14" w:type="paragraph">
    <w:name w:val="ConsPlusNonformat"/>
    <w:link w:val="Style_14_ch"/>
    <w:pPr>
      <w:widowControl w:val="0"/>
      <w:ind/>
    </w:pPr>
    <w:rPr>
      <w:rFonts w:ascii="Courier New" w:hAnsi="Courier New"/>
    </w:rPr>
  </w:style>
  <w:style w:styleId="Style_14_ch" w:type="character">
    <w:name w:val="ConsPlusNonformat"/>
    <w:link w:val="Style_14"/>
    <w:rPr>
      <w:rFonts w:ascii="Courier New" w:hAnsi="Courier New"/>
    </w:rPr>
  </w:style>
  <w:style w:styleId="Style_15" w:type="paragraph">
    <w:name w:val="heading 1"/>
    <w:basedOn w:val="Style_3"/>
    <w:link w:val="Style_15_ch"/>
    <w:uiPriority w:val="9"/>
    <w:qFormat/>
    <w:pPr>
      <w:spacing w:afterAutospacing="on" w:beforeAutospacing="on"/>
      <w:ind/>
      <w:outlineLvl w:val="0"/>
    </w:pPr>
    <w:rPr>
      <w:b w:val="1"/>
      <w:sz w:val="48"/>
    </w:rPr>
  </w:style>
  <w:style w:styleId="Style_15_ch" w:type="character">
    <w:name w:val="heading 1"/>
    <w:basedOn w:val="Style_3_ch"/>
    <w:link w:val="Style_15"/>
    <w:rPr>
      <w:b w:val="1"/>
      <w:sz w:val="48"/>
    </w:rPr>
  </w:style>
  <w:style w:styleId="Style_16" w:type="paragraph">
    <w:basedOn w:val="Style_3"/>
    <w:next w:val="Style_3"/>
    <w:link w:val="Style_16_ch"/>
    <w:semiHidden w:val="1"/>
    <w:unhideWhenUsed w:val="1"/>
    <w:pPr>
      <w:ind/>
      <w:jc w:val="center"/>
    </w:pPr>
    <w:rPr>
      <w:rFonts w:ascii="Arial" w:hAnsi="Arial"/>
      <w:sz w:val="16"/>
    </w:rPr>
  </w:style>
  <w:style w:styleId="Style_16_ch" w:type="character">
    <w:basedOn w:val="Style_3_ch"/>
    <w:link w:val="Style_16"/>
    <w:semiHidden w:val="1"/>
    <w:unhideWhenUsed w:val="1"/>
    <w:rPr>
      <w:rFonts w:ascii="Arial" w:hAnsi="Arial"/>
      <w:sz w:val="16"/>
    </w:rPr>
  </w:style>
  <w:style w:styleId="Style_17" w:type="paragraph">
    <w:name w:val="Hyperlink"/>
    <w:link w:val="Style_17_ch"/>
    <w:rPr>
      <w:color w:val="0000FF"/>
      <w:u w:val="single"/>
    </w:rPr>
  </w:style>
  <w:style w:styleId="Style_17_ch" w:type="character">
    <w:name w:val="Hyperlink"/>
    <w:link w:val="Style_17"/>
    <w:rPr>
      <w:color w:val="0000FF"/>
      <w:u w:val="single"/>
    </w:rPr>
  </w:style>
  <w:style w:styleId="Style_18" w:type="paragraph">
    <w:name w:val="Footnote"/>
    <w:link w:val="Style_18_ch"/>
    <w:rPr>
      <w:rFonts w:ascii="XO Thames" w:hAnsi="XO Thames"/>
      <w:color w:val="757575"/>
      <w:sz w:val="20"/>
    </w:rPr>
  </w:style>
  <w:style w:styleId="Style_18_ch" w:type="character">
    <w:name w:val="Footnote"/>
    <w:link w:val="Style_18"/>
    <w:rPr>
      <w:rFonts w:ascii="XO Thames" w:hAnsi="XO Thames"/>
      <w:color w:val="757575"/>
      <w:sz w:val="20"/>
    </w:rPr>
  </w:style>
  <w:style w:styleId="Style_19" w:type="paragraph">
    <w:name w:val="toc 1"/>
    <w:link w:val="Style_19_ch"/>
    <w:uiPriority w:val="39"/>
    <w:pPr>
      <w:ind w:firstLine="0" w:left="0"/>
    </w:pPr>
    <w:rPr>
      <w:rFonts w:ascii="XO Thames" w:hAnsi="XO Thames"/>
      <w:b w:val="1"/>
    </w:rPr>
  </w:style>
  <w:style w:styleId="Style_19_ch" w:type="character">
    <w:name w:val="toc 1"/>
    <w:link w:val="Style_19"/>
    <w:rPr>
      <w:rFonts w:ascii="XO Thames" w:hAnsi="XO Thames"/>
      <w:b w:val="1"/>
    </w:rPr>
  </w:style>
  <w:style w:styleId="Style_20" w:type="paragraph">
    <w:name w:val="Header and Footer"/>
    <w:link w:val="Style_20_ch"/>
    <w:pPr>
      <w:spacing w:line="360" w:lineRule="auto"/>
      <w:ind/>
    </w:pPr>
    <w:rPr>
      <w:rFonts w:ascii="XO Thames" w:hAnsi="XO Thames"/>
      <w:sz w:val="20"/>
    </w:rPr>
  </w:style>
  <w:style w:styleId="Style_20_ch" w:type="character">
    <w:name w:val="Header and Footer"/>
    <w:link w:val="Style_20"/>
    <w:rPr>
      <w:rFonts w:ascii="XO Thames" w:hAnsi="XO Thames"/>
      <w:sz w:val="20"/>
    </w:rPr>
  </w:style>
  <w:style w:styleId="Style_21" w:type="paragraph">
    <w:name w:val="toc 9"/>
    <w:link w:val="Style_21_ch"/>
    <w:uiPriority w:val="39"/>
    <w:pPr>
      <w:ind w:firstLine="0" w:left="1600"/>
    </w:pPr>
  </w:style>
  <w:style w:styleId="Style_21_ch" w:type="character">
    <w:name w:val="toc 9"/>
    <w:link w:val="Style_21"/>
  </w:style>
  <w:style w:styleId="Style_22" w:type="paragraph">
    <w:name w:val="Balloon Text"/>
    <w:basedOn w:val="Style_3"/>
    <w:link w:val="Style_22_ch"/>
    <w:rPr>
      <w:rFonts w:ascii="Tahoma" w:hAnsi="Tahoma"/>
      <w:sz w:val="16"/>
    </w:rPr>
  </w:style>
  <w:style w:styleId="Style_22_ch" w:type="character">
    <w:name w:val="Balloon Text"/>
    <w:basedOn w:val="Style_3_ch"/>
    <w:link w:val="Style_22"/>
    <w:rPr>
      <w:rFonts w:ascii="Tahoma" w:hAnsi="Tahoma"/>
      <w:sz w:val="16"/>
    </w:rPr>
  </w:style>
  <w:style w:styleId="Style_23" w:type="paragraph">
    <w:name w:val="ConsPlusTitle"/>
    <w:link w:val="Style_23_ch"/>
    <w:pPr>
      <w:widowControl w:val="0"/>
      <w:ind/>
    </w:pPr>
    <w:rPr>
      <w:rFonts w:ascii="Arial" w:hAnsi="Arial"/>
      <w:b w:val="1"/>
      <w:sz w:val="16"/>
    </w:rPr>
  </w:style>
  <w:style w:styleId="Style_23_ch" w:type="character">
    <w:name w:val="ConsPlusTitle"/>
    <w:link w:val="Style_23"/>
    <w:rPr>
      <w:rFonts w:ascii="Arial" w:hAnsi="Arial"/>
      <w:b w:val="1"/>
      <w:sz w:val="16"/>
    </w:rPr>
  </w:style>
  <w:style w:styleId="Style_24" w:type="paragraph">
    <w:name w:val="b-comment__title-qty"/>
    <w:basedOn w:val="Style_11"/>
    <w:link w:val="Style_24_ch"/>
  </w:style>
  <w:style w:styleId="Style_24_ch" w:type="character">
    <w:name w:val="b-comment__title-qty"/>
    <w:basedOn w:val="Style_11_ch"/>
    <w:link w:val="Style_24"/>
  </w:style>
  <w:style w:styleId="Style_25" w:type="paragraph">
    <w:name w:val="toc 8"/>
    <w:link w:val="Style_25_ch"/>
    <w:uiPriority w:val="39"/>
    <w:pPr>
      <w:ind w:firstLine="0" w:left="1400"/>
    </w:pPr>
  </w:style>
  <w:style w:styleId="Style_25_ch" w:type="character">
    <w:name w:val="toc 8"/>
    <w:link w:val="Style_25"/>
  </w:style>
  <w:style w:styleId="Style_26" w:type="paragraph">
    <w:name w:val="toc 5"/>
    <w:link w:val="Style_26_ch"/>
    <w:uiPriority w:val="39"/>
    <w:pPr>
      <w:ind w:firstLine="0" w:left="800"/>
    </w:pPr>
  </w:style>
  <w:style w:styleId="Style_26_ch" w:type="character">
    <w:name w:val="toc 5"/>
    <w:link w:val="Style_26"/>
  </w:style>
  <w:style w:styleId="Style_27" w:type="paragraph">
    <w:name w:val="Subtitle"/>
    <w:link w:val="Style_27_ch"/>
    <w:uiPriority w:val="11"/>
    <w:qFormat/>
    <w:rPr>
      <w:rFonts w:ascii="XO Thames" w:hAnsi="XO Thames"/>
      <w:i w:val="1"/>
      <w:color w:val="616161"/>
      <w:sz w:val="24"/>
    </w:rPr>
  </w:style>
  <w:style w:styleId="Style_27_ch" w:type="character">
    <w:name w:val="Subtitle"/>
    <w:link w:val="Style_27"/>
    <w:rPr>
      <w:rFonts w:ascii="XO Thames" w:hAnsi="XO Thames"/>
      <w:i w:val="1"/>
      <w:color w:val="616161"/>
      <w:sz w:val="24"/>
    </w:rPr>
  </w:style>
  <w:style w:styleId="Style_11" w:type="paragraph">
    <w:name w:val="Default Paragraph Font"/>
    <w:link w:val="Style_11_ch"/>
  </w:style>
  <w:style w:styleId="Style_11_ch" w:type="character">
    <w:name w:val="Default Paragraph Font"/>
    <w:link w:val="Style_11"/>
  </w:style>
  <w:style w:styleId="Style_28" w:type="paragraph">
    <w:name w:val="toc 10"/>
    <w:link w:val="Style_28_ch"/>
    <w:uiPriority w:val="39"/>
    <w:pPr>
      <w:ind w:firstLine="0" w:left="1800"/>
    </w:pPr>
  </w:style>
  <w:style w:styleId="Style_28_ch" w:type="character">
    <w:name w:val="toc 10"/>
    <w:link w:val="Style_28"/>
  </w:style>
  <w:style w:styleId="Style_29" w:type="paragraph">
    <w:name w:val="Title"/>
    <w:link w:val="Style_29_ch"/>
    <w:uiPriority w:val="10"/>
    <w:qFormat/>
    <w:rPr>
      <w:rFonts w:ascii="XO Thames" w:hAnsi="XO Thames"/>
      <w:b w:val="1"/>
      <w:sz w:val="52"/>
    </w:rPr>
  </w:style>
  <w:style w:styleId="Style_29_ch" w:type="character">
    <w:name w:val="Title"/>
    <w:link w:val="Style_29"/>
    <w:rPr>
      <w:rFonts w:ascii="XO Thames" w:hAnsi="XO Thames"/>
      <w:b w:val="1"/>
      <w:sz w:val="52"/>
    </w:rPr>
  </w:style>
  <w:style w:styleId="Style_2" w:type="paragraph">
    <w:name w:val="heading 4"/>
    <w:basedOn w:val="Style_3"/>
    <w:link w:val="Style_2_ch"/>
    <w:uiPriority w:val="9"/>
    <w:qFormat/>
    <w:pPr>
      <w:spacing w:afterAutospacing="on" w:beforeAutospacing="on"/>
      <w:ind/>
      <w:outlineLvl w:val="3"/>
    </w:pPr>
    <w:rPr>
      <w:b w:val="1"/>
    </w:rPr>
  </w:style>
  <w:style w:styleId="Style_2_ch" w:type="character">
    <w:name w:val="heading 4"/>
    <w:basedOn w:val="Style_3_ch"/>
    <w:link w:val="Style_2"/>
    <w:rPr>
      <w:b w:val="1"/>
    </w:rPr>
  </w:style>
  <w:style w:styleId="Style_30" w:type="paragraph">
    <w:name w:val="heading 2"/>
    <w:basedOn w:val="Style_3"/>
    <w:next w:val="Style_3"/>
    <w:link w:val="Style_30_ch"/>
    <w:uiPriority w:val="9"/>
    <w:qFormat/>
    <w:pPr>
      <w:keepNext w:val="1"/>
      <w:spacing w:after="60" w:before="240"/>
      <w:ind/>
      <w:outlineLvl w:val="1"/>
    </w:pPr>
    <w:rPr>
      <w:rFonts w:ascii="Cambria" w:hAnsi="Cambria"/>
      <w:b w:val="1"/>
      <w:i w:val="1"/>
      <w:sz w:val="28"/>
    </w:rPr>
  </w:style>
  <w:style w:styleId="Style_30_ch" w:type="character">
    <w:name w:val="heading 2"/>
    <w:basedOn w:val="Style_3_ch"/>
    <w:link w:val="Style_30"/>
    <w:rPr>
      <w:rFonts w:ascii="Cambria" w:hAnsi="Cambria"/>
      <w:b w:val="1"/>
      <w:i w:val="1"/>
      <w:sz w:val="28"/>
    </w:rPr>
  </w:style>
  <w:style w:styleId="Style_31" w:type="paragraph">
    <w:basedOn w:val="Style_3"/>
    <w:next w:val="Style_3"/>
    <w:link w:val="Style_31_ch"/>
    <w:semiHidden w:val="1"/>
    <w:unhideWhenUsed w:val="1"/>
    <w:pPr>
      <w:ind/>
      <w:jc w:val="center"/>
    </w:pPr>
    <w:rPr>
      <w:rFonts w:ascii="Arial" w:hAnsi="Arial"/>
      <w:sz w:val="16"/>
    </w:rPr>
  </w:style>
  <w:style w:styleId="Style_31_ch" w:type="character">
    <w:basedOn w:val="Style_3_ch"/>
    <w:link w:val="Style_31"/>
    <w:semiHidden w:val="1"/>
    <w:unhideWhenUsed w:val="1"/>
    <w:rPr>
      <w:rFonts w:ascii="Arial" w:hAnsi="Arial"/>
      <w:sz w:val="16"/>
    </w:rPr>
  </w:style>
  <w:style w:default="1" w:styleId="Style_3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9" Target="numbering.xml" Type="http://schemas.openxmlformats.org/officeDocument/2006/relationships/numbering"/>
  <Relationship Id="rId8" Target="theme/theme1.xml" Type="http://schemas.openxmlformats.org/officeDocument/2006/relationships/theme"/>
  <Relationship Id="rId7" Target="webSettings.xml" Type="http://schemas.openxmlformats.org/officeDocument/2006/relationships/webSettings"/>
  <Relationship Id="rId6" Target="stylesWithEffects.xml" Type="http://schemas.microsoft.com/office/2007/relationships/stylesWithEffects"/>
  <Relationship Id="rId5" Target="styles.xml" Type="http://schemas.openxmlformats.org/officeDocument/2006/relationships/styles"/>
  <Relationship Id="rId4" Target="settings.xml" Type="http://schemas.openxmlformats.org/officeDocument/2006/relationships/settings"/>
  <Relationship Id="rId3" Target="fontTable.xml" Type="http://schemas.openxmlformats.org/officeDocument/2006/relationships/fontTable"/>
  <Relationship Id="rId2" Target="media/2.png" Type="http://schemas.openxmlformats.org/officeDocument/2006/relationships/image"/>
  <Relationship Id="rId1" Target="media/1.png" Type="http://schemas.openxmlformats.org/officeDocument/2006/relationships/image"/>
</Relationships>
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%">
              <a:schemeClr val="phClr">
                <a:tint val="50%"/>
                <a:satMod val="300%"/>
              </a:schemeClr>
            </a:gs>
            <a:gs pos="35%">
              <a:schemeClr val="phClr">
                <a:tint val="37%"/>
                <a:satMod val="300%"/>
              </a:schemeClr>
            </a:gs>
            <a:gs pos="100%">
              <a:schemeClr val="phClr">
                <a:tint val="15%"/>
                <a:satMod val="350%"/>
              </a:schemeClr>
            </a:gs>
          </a:gsLst>
        </a:gradFill>
        <a:gradFill>
          <a:gsLst>
            <a:gs pos="0%">
              <a:schemeClr val="phClr">
                <a:shade val="51%"/>
                <a:satMod val="130%"/>
              </a:schemeClr>
            </a:gs>
            <a:gs pos="80%">
              <a:schemeClr val="phClr">
                <a:shade val="93%"/>
                <a:satMod val="130%"/>
              </a:schemeClr>
            </a:gs>
            <a:gs pos="100%">
              <a:schemeClr val="phClr">
                <a:shade val="94%"/>
                <a:satMod val="135%"/>
              </a:schemeClr>
            </a:gs>
          </a:gsLst>
        </a:gradFill>
      </a:fillStyleLst>
      <a:lnStyleLst>
        <a:ln>
          <a:solidFill>
            <a:schemeClr val="phClr">
              <a:shade val="95%"/>
              <a:satMod val="105%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%">
              <a:schemeClr val="phClr">
                <a:tint val="40%"/>
                <a:satMod val="350%"/>
              </a:schemeClr>
            </a:gs>
            <a:gs pos="40%">
              <a:schemeClr val="phClr">
                <a:tint val="45%"/>
                <a:shade val="99%"/>
                <a:satMod val="350%"/>
              </a:schemeClr>
            </a:gs>
            <a:gs pos="100%">
              <a:schemeClr val="phClr">
                <a:shade val="20%"/>
                <a:satMod val="255%"/>
              </a:schemeClr>
            </a:gs>
          </a:gsLst>
        </a:gradFill>
        <a:gradFill>
          <a:gsLst>
            <a:gs pos="0%">
              <a:schemeClr val="phClr">
                <a:tint val="80%"/>
                <a:satMod val="300%"/>
              </a:schemeClr>
            </a:gs>
            <a:gs pos="100%">
              <a:schemeClr val="phClr">
                <a:shade val="30%"/>
                <a:satMod val="200%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5</TotalTime>
  <DocSecurity>0</DocSecurity>
  <ScaleCrop>false</ScaleCrop>
  <Application>MyOffice-CoreFramework-Linux/13.0-597.96.2935.234.1@RELEASE-DESKTOP-MINT-ST-2</Application>
</Properties>
</file>